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8A77A" w14:textId="6A69A33D" w:rsidR="00E24D80" w:rsidRDefault="000A3AC9" w:rsidP="005252F4">
      <w:pPr>
        <w:pStyle w:val="Zkladn"/>
        <w:spacing w:before="120"/>
        <w:jc w:val="right"/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</w:t>
      </w:r>
      <w:r w:rsidRPr="00512C49">
        <w:rPr>
          <w:b/>
          <w:sz w:val="22"/>
          <w:szCs w:val="22"/>
        </w:rPr>
        <w:t xml:space="preserve">Počet stran: </w:t>
      </w:r>
      <w:r w:rsidRPr="00512C49">
        <w:rPr>
          <w:b/>
          <w:sz w:val="22"/>
          <w:szCs w:val="22"/>
          <w:lang w:val="cs-CZ"/>
        </w:rPr>
        <w:t>1</w:t>
      </w:r>
      <w:r w:rsidR="00512C49" w:rsidRPr="00512C49">
        <w:rPr>
          <w:b/>
          <w:sz w:val="22"/>
          <w:szCs w:val="22"/>
          <w:lang w:val="cs-CZ"/>
        </w:rPr>
        <w:t>6</w:t>
      </w:r>
    </w:p>
    <w:p w14:paraId="1E48A77B" w14:textId="77777777" w:rsidR="00E24D80" w:rsidRDefault="00E24D80">
      <w:pPr>
        <w:pStyle w:val="Zkladn"/>
        <w:spacing w:line="240" w:lineRule="auto"/>
        <w:rPr>
          <w:sz w:val="22"/>
          <w:szCs w:val="22"/>
        </w:rPr>
      </w:pPr>
    </w:p>
    <w:p w14:paraId="1E48A77C" w14:textId="77777777" w:rsidR="00E24D80" w:rsidRDefault="00E24D80">
      <w:pPr>
        <w:pStyle w:val="Zkladn"/>
        <w:rPr>
          <w:sz w:val="22"/>
          <w:szCs w:val="22"/>
        </w:rPr>
      </w:pPr>
    </w:p>
    <w:p w14:paraId="1E48A77D" w14:textId="77777777" w:rsidR="00E24D80" w:rsidRDefault="00E24D80">
      <w:pPr>
        <w:pStyle w:val="Zkladn"/>
        <w:rPr>
          <w:sz w:val="22"/>
          <w:szCs w:val="22"/>
        </w:rPr>
      </w:pPr>
    </w:p>
    <w:p w14:paraId="1E48A77E" w14:textId="77777777" w:rsidR="00E24D80" w:rsidRDefault="00E24D80">
      <w:pPr>
        <w:pStyle w:val="Zkladn"/>
        <w:rPr>
          <w:sz w:val="22"/>
          <w:szCs w:val="22"/>
        </w:rPr>
      </w:pPr>
    </w:p>
    <w:p w14:paraId="1E48A77F" w14:textId="77777777" w:rsidR="00E24D80" w:rsidRDefault="00E24D80">
      <w:pPr>
        <w:pStyle w:val="Zkladn"/>
        <w:rPr>
          <w:sz w:val="22"/>
          <w:szCs w:val="22"/>
          <w:lang w:val="cs-CZ"/>
        </w:rPr>
      </w:pPr>
    </w:p>
    <w:p w14:paraId="1E48A780" w14:textId="77777777" w:rsidR="00E24D80" w:rsidRDefault="00E24D80">
      <w:pPr>
        <w:pStyle w:val="Zkladn"/>
        <w:rPr>
          <w:sz w:val="22"/>
          <w:szCs w:val="22"/>
          <w:lang w:val="cs-CZ"/>
        </w:rPr>
      </w:pPr>
    </w:p>
    <w:p w14:paraId="1E48A781" w14:textId="77777777" w:rsidR="00E24D80" w:rsidRDefault="00E24D80">
      <w:pPr>
        <w:pStyle w:val="Zkladn"/>
        <w:rPr>
          <w:sz w:val="22"/>
          <w:szCs w:val="22"/>
          <w:lang w:val="cs-CZ"/>
        </w:rPr>
      </w:pPr>
    </w:p>
    <w:p w14:paraId="1E48A782" w14:textId="77777777" w:rsidR="00E24D80" w:rsidRDefault="00E24D80">
      <w:pPr>
        <w:pStyle w:val="Zkladn"/>
        <w:rPr>
          <w:sz w:val="22"/>
          <w:szCs w:val="22"/>
          <w:lang w:val="cs-CZ"/>
        </w:rPr>
      </w:pPr>
    </w:p>
    <w:p w14:paraId="1E48A783" w14:textId="77777777" w:rsidR="00E24D80" w:rsidRDefault="00E24D80">
      <w:pPr>
        <w:pStyle w:val="Zkladn"/>
        <w:jc w:val="center"/>
        <w:rPr>
          <w:sz w:val="22"/>
          <w:szCs w:val="22"/>
          <w:lang w:val="cs-CZ"/>
        </w:rPr>
      </w:pPr>
    </w:p>
    <w:p w14:paraId="1E48A784" w14:textId="77777777" w:rsidR="00E24D80" w:rsidRDefault="000A3AC9" w:rsidP="00512C49">
      <w:pPr>
        <w:pStyle w:val="Zkladn"/>
        <w:ind w:right="1"/>
        <w:jc w:val="center"/>
        <w:rPr>
          <w:caps/>
          <w:sz w:val="44"/>
          <w:szCs w:val="40"/>
          <w:lang w:val="cs-CZ"/>
        </w:rPr>
      </w:pPr>
      <w:r>
        <w:rPr>
          <w:b/>
          <w:bCs/>
          <w:caps/>
          <w:sz w:val="44"/>
          <w:szCs w:val="40"/>
          <w:lang w:val="cs-CZ"/>
        </w:rPr>
        <w:t>B. SOUHRNnÁ TECHNICKÁ ZPRÁVA</w:t>
      </w:r>
    </w:p>
    <w:p w14:paraId="1E48A785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6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7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8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9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  <w:lang w:val="cs-CZ"/>
        </w:rPr>
      </w:pPr>
    </w:p>
    <w:p w14:paraId="1E48A78A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B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</w:rPr>
      </w:pPr>
    </w:p>
    <w:p w14:paraId="1E48A78C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  <w:lang w:val="cs-CZ"/>
        </w:rPr>
      </w:pPr>
    </w:p>
    <w:p w14:paraId="1E48A78D" w14:textId="77777777" w:rsidR="00E24D80" w:rsidRDefault="00E24D80">
      <w:pPr>
        <w:pStyle w:val="Zkladn"/>
        <w:spacing w:line="240" w:lineRule="auto"/>
        <w:rPr>
          <w:sz w:val="22"/>
          <w:szCs w:val="22"/>
        </w:rPr>
      </w:pPr>
    </w:p>
    <w:p w14:paraId="1E48A78E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  <w:lang w:val="cs-CZ"/>
        </w:rPr>
      </w:pPr>
    </w:p>
    <w:p w14:paraId="1E48A78F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  <w:lang w:val="cs-CZ"/>
        </w:rPr>
      </w:pPr>
    </w:p>
    <w:p w14:paraId="1E48A790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 w:val="22"/>
          <w:szCs w:val="22"/>
          <w:lang w:val="cs-CZ"/>
        </w:rPr>
      </w:pPr>
    </w:p>
    <w:p w14:paraId="1E48A791" w14:textId="77777777" w:rsidR="00E24D80" w:rsidRDefault="00E24D80">
      <w:pPr>
        <w:pStyle w:val="Zkladn"/>
        <w:tabs>
          <w:tab w:val="left" w:pos="2835"/>
        </w:tabs>
        <w:spacing w:after="120" w:line="240" w:lineRule="auto"/>
        <w:rPr>
          <w:szCs w:val="24"/>
          <w:lang w:val="cs-CZ"/>
        </w:rPr>
      </w:pPr>
    </w:p>
    <w:p w14:paraId="04FB9CBE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</w:p>
    <w:p w14:paraId="403785C2" w14:textId="104011E8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Nové evakuační výtahy v budově DSP na ul. Hlavní 1161, Otrokovice</w:t>
      </w:r>
    </w:p>
    <w:p w14:paraId="2D1328A3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Otrokovice, ul. Hlavní 1161, 765 02 Otrokovice</w:t>
      </w:r>
    </w:p>
    <w:p w14:paraId="530AC1CA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3.května 1340, 765 02 Otrokovice</w:t>
      </w:r>
    </w:p>
    <w:p w14:paraId="5EB954A6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DSP</w:t>
      </w:r>
    </w:p>
    <w:p w14:paraId="06F13E39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6FECC2FB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Josef Hořínek</w:t>
      </w:r>
    </w:p>
    <w:p w14:paraId="690112D0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167-23</w:t>
      </w:r>
    </w:p>
    <w:p w14:paraId="693BAAAC" w14:textId="77777777" w:rsidR="005252F4" w:rsidRDefault="005252F4" w:rsidP="005252F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16723</w:t>
      </w:r>
    </w:p>
    <w:p w14:paraId="310F8504" w14:textId="0BBD0B3A" w:rsidR="005252F4" w:rsidRDefault="005252F4" w:rsidP="005252F4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94A83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/2023</w:t>
      </w:r>
    </w:p>
    <w:p w14:paraId="487CF504" w14:textId="72635599" w:rsidR="00082ABC" w:rsidRDefault="00082ABC" w:rsidP="005252F4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sz w:val="28"/>
          <w:szCs w:val="28"/>
        </w:rPr>
      </w:pPr>
    </w:p>
    <w:p w14:paraId="67D7C784" w14:textId="77777777" w:rsidR="00082ABC" w:rsidRDefault="00082ABC" w:rsidP="005252F4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19128D" w14:textId="77777777" w:rsidR="00082ABC" w:rsidRPr="00FB32BA" w:rsidRDefault="00082ABC" w:rsidP="00082AB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FB32BA">
            <w:rPr>
              <w:rFonts w:ascii="Times New Roman" w:hAnsi="Times New Roman" w:cs="Times New Roman"/>
              <w:color w:val="auto"/>
            </w:rPr>
            <w:t>Obsah</w:t>
          </w:r>
        </w:p>
        <w:p w14:paraId="7B00FE17" w14:textId="7A2F79D0" w:rsidR="00961AD4" w:rsidRDefault="00082ABC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r w:rsidRPr="00FB32BA">
            <w:rPr>
              <w:rFonts w:ascii="Times New Roman" w:hAnsi="Times New Roman" w:cs="Times New Roman"/>
            </w:rPr>
            <w:fldChar w:fldCharType="begin"/>
          </w:r>
          <w:r w:rsidRPr="00FB32BA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FB32BA">
            <w:rPr>
              <w:rFonts w:ascii="Times New Roman" w:hAnsi="Times New Roman" w:cs="Times New Roman"/>
            </w:rPr>
            <w:fldChar w:fldCharType="separate"/>
          </w:r>
          <w:hyperlink w:anchor="_Toc137723562" w:history="1">
            <w:r w:rsidR="00961AD4" w:rsidRPr="00770158">
              <w:rPr>
                <w:rStyle w:val="Hypertextovodkaz"/>
                <w:noProof/>
              </w:rPr>
              <w:t>B.1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Popis území 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_Toc137723562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 w:rsidR="00A53E7E">
              <w:rPr>
                <w:noProof/>
                <w:webHidden/>
              </w:rPr>
              <w:t>3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7020A539" w14:textId="703646A2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3" w:history="1">
            <w:r w:rsidR="00961AD4" w:rsidRPr="00770158">
              <w:rPr>
                <w:rStyle w:val="Hypertextovodkaz"/>
                <w:noProof/>
              </w:rPr>
              <w:t>B.2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Celkový popis 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_Toc137723563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2F6F7910" w14:textId="666EABD5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4" w:history="1">
            <w:r w:rsidR="00961AD4" w:rsidRPr="00770158">
              <w:rPr>
                <w:rStyle w:val="Hypertextovodkaz"/>
                <w:noProof/>
              </w:rPr>
              <w:t>B.2.1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Základní charakteristika stavby a jejího užívání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_Toc137723564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6284304E" w14:textId="56B6FEA2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5" w:history="1">
            <w:r w:rsidR="00961AD4" w:rsidRPr="00770158">
              <w:rPr>
                <w:rStyle w:val="Hypertextovodkaz"/>
                <w:noProof/>
              </w:rPr>
              <w:t>B.2.2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Celkové urbanistické a architektonické řešení 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_Toc137723565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043E03D8" w14:textId="2EAB028A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6" w:history="1">
            <w:r w:rsidR="00961AD4" w:rsidRPr="00770158">
              <w:rPr>
                <w:rStyle w:val="Hypertextovodkaz"/>
                <w:noProof/>
              </w:rPr>
              <w:t>B.2.3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Celkové provozní řešení, technologie výroby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_Toc137723566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5A263156" w14:textId="50995C9D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7" w:history="1">
            <w:r w:rsidR="00961AD4" w:rsidRPr="00770158">
              <w:rPr>
                <w:rStyle w:val="Hypertextovodkaz"/>
                <w:noProof/>
              </w:rPr>
              <w:t>B.2.4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Bezbariérové užívání 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_Toc137723567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063F8F1B" w14:textId="05C35EFA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8" w:history="1">
            <w:r w:rsidR="00961AD4" w:rsidRPr="00770158">
              <w:rPr>
                <w:rStyle w:val="Hypertextovodkaz"/>
                <w:noProof/>
              </w:rPr>
              <w:t>B.2.5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Bezpečnost při užívání 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_Toc137723568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4F61B0A3" w14:textId="5557EE43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69" w:history="1">
            <w:r w:rsidR="00961AD4" w:rsidRPr="00770158">
              <w:rPr>
                <w:rStyle w:val="Hypertextovodkaz"/>
                <w:noProof/>
              </w:rPr>
              <w:t>B.2.6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Základní charakteristika objektů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_Toc137723569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71C22F09" w14:textId="5638F12D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0" w:history="1">
            <w:r w:rsidR="00961AD4" w:rsidRPr="00770158">
              <w:rPr>
                <w:rStyle w:val="Hypertextovodkaz"/>
                <w:noProof/>
              </w:rPr>
              <w:t>B.2.7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Základní charakteristika technických a technologických zařízení: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_Toc137723570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41935399" w14:textId="6713A0B5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1" w:history="1">
            <w:r w:rsidR="00961AD4" w:rsidRPr="00770158">
              <w:rPr>
                <w:rStyle w:val="Hypertextovodkaz"/>
                <w:noProof/>
              </w:rPr>
              <w:t>B.2.8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Zásady požárně bezpečnostního řešení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_Toc137723571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4BFADAA4" w14:textId="382F73F4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2" w:history="1">
            <w:r w:rsidR="00961AD4" w:rsidRPr="00770158">
              <w:rPr>
                <w:rStyle w:val="Hypertextovodkaz"/>
                <w:noProof/>
              </w:rPr>
              <w:t>B.2.9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Úspora energie a tepelná ochrana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_Toc137723572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71A2990C" w14:textId="43339626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3" w:history="1">
            <w:r w:rsidR="00961AD4" w:rsidRPr="00770158">
              <w:rPr>
                <w:rStyle w:val="Hypertextovodkaz"/>
                <w:noProof/>
              </w:rPr>
              <w:t>B.2.10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Hygienické požadavky na stavby, požadavky na pracovní a komunální prostředí; zásady řešení parametrů stavby – větrání, vytápění, osvětlení, zásobování vodou, odpadů apod., dále zásady řešení vlivu stavby na okolí – vibrace, hluk, prašnost apod.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_Toc137723573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05D6488A" w14:textId="7671FD36" w:rsidR="00961AD4" w:rsidRDefault="00A53E7E">
          <w:pPr>
            <w:pStyle w:val="Obsah2"/>
            <w:tabs>
              <w:tab w:val="left" w:pos="110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4" w:history="1">
            <w:r w:rsidR="00961AD4" w:rsidRPr="00770158">
              <w:rPr>
                <w:rStyle w:val="Hypertextovodkaz"/>
                <w:noProof/>
              </w:rPr>
              <w:t>B.2.11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Zásady ochrany stavby před negativními účinky vnějšího prostředí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_Toc137723574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08A98E42" w14:textId="7CD0524F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5" w:history="1">
            <w:r w:rsidR="00961AD4" w:rsidRPr="00770158">
              <w:rPr>
                <w:rStyle w:val="Hypertextovodkaz"/>
                <w:noProof/>
              </w:rPr>
              <w:t>B.3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Připojení na technickou infrastrukturu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_Toc137723575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6BC32F53" w14:textId="1D55ACC5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6" w:history="1">
            <w:r w:rsidR="00961AD4" w:rsidRPr="00770158">
              <w:rPr>
                <w:rStyle w:val="Hypertextovodkaz"/>
                <w:noProof/>
              </w:rPr>
              <w:t>B.4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Dopravní řešení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_Toc137723576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39FB6994" w14:textId="596BE08E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7" w:history="1">
            <w:r w:rsidR="00961AD4" w:rsidRPr="00770158">
              <w:rPr>
                <w:rStyle w:val="Hypertextovodkaz"/>
                <w:noProof/>
              </w:rPr>
              <w:t>B.5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Řešení vegetace a souvisejících terénních úprav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_Toc137723577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7D0E384A" w14:textId="049B2052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8" w:history="1">
            <w:r w:rsidR="00961AD4" w:rsidRPr="00770158">
              <w:rPr>
                <w:rStyle w:val="Hypertextovodkaz"/>
                <w:noProof/>
              </w:rPr>
              <w:t>B.6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Popis vlivů stavby na životní prostředí a jeho ochrana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_Toc137723578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259273CF" w14:textId="2DDD0319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79" w:history="1">
            <w:r w:rsidR="00961AD4" w:rsidRPr="00770158">
              <w:rPr>
                <w:rStyle w:val="Hypertextovodkaz"/>
                <w:noProof/>
              </w:rPr>
              <w:t>B.7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Ochrana obyvatelstva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_Toc137723579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7E7188AA" w14:textId="522C7AE8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80" w:history="1">
            <w:r w:rsidR="00961AD4" w:rsidRPr="00770158">
              <w:rPr>
                <w:rStyle w:val="Hypertextovodkaz"/>
                <w:noProof/>
              </w:rPr>
              <w:t>B.8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Zásady organizace výstavby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_Toc137723580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6494D200" w14:textId="6C6B36F8" w:rsidR="00961AD4" w:rsidRDefault="00A53E7E">
          <w:pPr>
            <w:pStyle w:val="Obsah1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cs-CZ"/>
            </w:rPr>
          </w:pPr>
          <w:hyperlink w:anchor="_Toc137723581" w:history="1">
            <w:r w:rsidR="00961AD4" w:rsidRPr="00770158">
              <w:rPr>
                <w:rStyle w:val="Hypertextovodkaz"/>
                <w:noProof/>
              </w:rPr>
              <w:t>B.9</w:t>
            </w:r>
            <w:r w:rsidR="00961AD4">
              <w:rPr>
                <w:rFonts w:eastAsiaTheme="minorEastAsia"/>
                <w:noProof/>
                <w:lang w:eastAsia="cs-CZ"/>
              </w:rPr>
              <w:tab/>
            </w:r>
            <w:r w:rsidR="00961AD4" w:rsidRPr="00770158">
              <w:rPr>
                <w:rStyle w:val="Hypertextovodkaz"/>
                <w:noProof/>
              </w:rPr>
              <w:t>Celkové vodohospodářské řešení</w:t>
            </w:r>
            <w:r w:rsidR="00961AD4">
              <w:rPr>
                <w:noProof/>
                <w:webHidden/>
              </w:rPr>
              <w:tab/>
            </w:r>
            <w:r w:rsidR="00961AD4">
              <w:rPr>
                <w:noProof/>
                <w:webHidden/>
              </w:rPr>
              <w:fldChar w:fldCharType="begin"/>
            </w:r>
            <w:r w:rsidR="00961AD4">
              <w:rPr>
                <w:noProof/>
                <w:webHidden/>
              </w:rPr>
              <w:instrText xml:space="preserve"> PAGEREF _Toc137723581 \h </w:instrText>
            </w:r>
            <w:r w:rsidR="00961AD4">
              <w:rPr>
                <w:noProof/>
                <w:webHidden/>
              </w:rPr>
            </w:r>
            <w:r w:rsidR="00961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61AD4">
              <w:rPr>
                <w:noProof/>
                <w:webHidden/>
              </w:rPr>
              <w:fldChar w:fldCharType="end"/>
            </w:r>
          </w:hyperlink>
        </w:p>
        <w:p w14:paraId="205C6062" w14:textId="3C4927BC" w:rsidR="00082ABC" w:rsidRDefault="00082ABC" w:rsidP="00082ABC">
          <w:pPr>
            <w:rPr>
              <w:rFonts w:cs="Times New Roman"/>
              <w:b/>
              <w:bCs/>
            </w:rPr>
          </w:pPr>
          <w:r w:rsidRPr="00FB32BA">
            <w:rPr>
              <w:rFonts w:ascii="Times New Roman" w:hAnsi="Times New Roman" w:cs="Times New Roman"/>
            </w:rPr>
            <w:fldChar w:fldCharType="end"/>
          </w:r>
        </w:p>
      </w:sdtContent>
    </w:sdt>
    <w:bookmarkStart w:id="0" w:name="_Toc137721324" w:displacedByCustomXml="prev"/>
    <w:p w14:paraId="6AE4538C" w14:textId="77777777" w:rsidR="00082ABC" w:rsidRDefault="00082ABC">
      <w:pPr>
        <w:spacing w:after="0" w:line="240" w:lineRule="auto"/>
        <w:rPr>
          <w:rFonts w:ascii="Times New Roman" w:eastAsiaTheme="majorEastAsia" w:hAnsi="Times New Roman" w:cstheme="majorBidi"/>
          <w:b/>
          <w:sz w:val="32"/>
          <w:szCs w:val="32"/>
          <w:highlight w:val="lightGray"/>
        </w:rPr>
      </w:pPr>
      <w:r>
        <w:rPr>
          <w:highlight w:val="lightGray"/>
        </w:rPr>
        <w:br w:type="page"/>
      </w:r>
    </w:p>
    <w:p w14:paraId="1E48A7B4" w14:textId="0FEF5032" w:rsidR="00E24D80" w:rsidRDefault="000A3AC9" w:rsidP="00082ABC">
      <w:pPr>
        <w:pStyle w:val="KMnadpis1"/>
        <w:numPr>
          <w:ilvl w:val="0"/>
          <w:numId w:val="2"/>
        </w:numPr>
      </w:pPr>
      <w:bookmarkStart w:id="1" w:name="_Toc137723562"/>
      <w:r>
        <w:lastRenderedPageBreak/>
        <w:t>Popis území stavby</w:t>
      </w:r>
      <w:bookmarkEnd w:id="1"/>
      <w:bookmarkEnd w:id="0"/>
    </w:p>
    <w:p w14:paraId="1E48A7B5" w14:textId="77777777" w:rsidR="00E24D80" w:rsidRDefault="000A3AC9">
      <w:pPr>
        <w:pStyle w:val="KMnadpis3"/>
        <w:numPr>
          <w:ilvl w:val="0"/>
          <w:numId w:val="4"/>
        </w:numPr>
      </w:pPr>
      <w:bookmarkStart w:id="2" w:name="_Toc137721325"/>
      <w:r>
        <w:rPr>
          <w:sz w:val="23"/>
          <w:szCs w:val="23"/>
        </w:rPr>
        <w:t>Charakteristika území a stavebního pozemku, zastavěné území a nezastavěné území, soulad navrhované stavby s charakterem území, dosavadní využití a zastavěnost území</w:t>
      </w:r>
      <w:r>
        <w:rPr>
          <w:rStyle w:val="KMnadpis3Char"/>
          <w:b/>
        </w:rPr>
        <w:t>:</w:t>
      </w:r>
      <w:bookmarkEnd w:id="2"/>
      <w:r>
        <w:t xml:space="preserve"> </w:t>
      </w:r>
    </w:p>
    <w:p w14:paraId="1E48A7B6" w14:textId="2E33ACC3" w:rsidR="00E24D80" w:rsidRDefault="000A3AC9" w:rsidP="00082ABC">
      <w:pPr>
        <w:pStyle w:val="KMnormal"/>
        <w:jc w:val="both"/>
      </w:pPr>
      <w:r>
        <w:t>Území, na kterém je objekt situován je rovinat</w:t>
      </w:r>
      <w:r w:rsidR="00AF6D7A">
        <w:t>ý</w:t>
      </w:r>
      <w:r>
        <w:t>. V těsné blízkosti se</w:t>
      </w:r>
      <w:r w:rsidR="00082ABC">
        <w:t> </w:t>
      </w:r>
      <w:r>
        <w:t xml:space="preserve">nachází </w:t>
      </w:r>
      <w:r w:rsidR="008B05FB">
        <w:t>základní škola a nově vybudovaný rekreační areál.</w:t>
      </w:r>
      <w:r>
        <w:t xml:space="preserve"> </w:t>
      </w:r>
    </w:p>
    <w:p w14:paraId="1E48A7B7" w14:textId="77777777" w:rsidR="00E24D80" w:rsidRDefault="000A3AC9">
      <w:pPr>
        <w:pStyle w:val="KMnadpis3"/>
        <w:numPr>
          <w:ilvl w:val="0"/>
          <w:numId w:val="4"/>
        </w:numPr>
      </w:pPr>
      <w:bookmarkStart w:id="3" w:name="_Toc137721326"/>
      <w:r>
        <w:t>Údaje o souladu stavby s územně plánovací dokumentací, s cíli a úkoly územního plánování, včetně informace o vydané územně plánovací dokumentaci:</w:t>
      </w:r>
      <w:bookmarkEnd w:id="3"/>
    </w:p>
    <w:p w14:paraId="1E48A7B8" w14:textId="44B2F008" w:rsidR="00E24D80" w:rsidRDefault="000A3AC9" w:rsidP="00082ABC">
      <w:pPr>
        <w:pStyle w:val="KMnormal"/>
        <w:jc w:val="both"/>
      </w:pPr>
      <w:r>
        <w:t>Záměr není v rozporu s územně plánovací dokumentací.</w:t>
      </w:r>
      <w:r w:rsidR="00082ABC">
        <w:t xml:space="preserve"> </w:t>
      </w:r>
      <w:r>
        <w:t>Jedná se</w:t>
      </w:r>
      <w:r w:rsidR="00082ABC">
        <w:t> </w:t>
      </w:r>
      <w:r>
        <w:t>o</w:t>
      </w:r>
      <w:r w:rsidR="00082ABC">
        <w:t> </w:t>
      </w:r>
      <w:r w:rsidR="008B05FB">
        <w:t>rekonstrukci dvou stávajících výtahů</w:t>
      </w:r>
      <w:r w:rsidR="00FF61CD">
        <w:t>.</w:t>
      </w:r>
      <w:r w:rsidR="00082ABC">
        <w:t xml:space="preserve"> V rámci rekonstrukce budou zvětšeny výtahové šachty a montovány nové výtahy</w:t>
      </w:r>
      <w:r w:rsidR="00394A83">
        <w:t xml:space="preserve"> s parametry evakuačních výtahů</w:t>
      </w:r>
      <w:r w:rsidR="00082ABC">
        <w:t>.</w:t>
      </w:r>
      <w:r w:rsidR="005E5366">
        <w:t xml:space="preserve"> </w:t>
      </w:r>
      <w:r w:rsidR="00394A83">
        <w:t>Výtahy se stanou evakuačními až po dokončení navazujících samostatných etap – umístění záložního zdroje výtahů a dispoziční úpravy dle požadavků PBŘ, které nejsou součástí projektu.</w:t>
      </w:r>
    </w:p>
    <w:p w14:paraId="1E48A7B9" w14:textId="77777777" w:rsidR="00E24D80" w:rsidRDefault="000A3AC9">
      <w:pPr>
        <w:pStyle w:val="KMnadpis3"/>
        <w:numPr>
          <w:ilvl w:val="0"/>
          <w:numId w:val="4"/>
        </w:numPr>
      </w:pPr>
      <w:bookmarkStart w:id="4" w:name="_Toc137721327"/>
      <w:r>
        <w:t>Informace o vydaných rozhodnutích o povolení výjimky z obecných požadavků na využívání území:</w:t>
      </w:r>
      <w:bookmarkEnd w:id="4"/>
    </w:p>
    <w:p w14:paraId="1E48A7BA" w14:textId="77777777" w:rsidR="00E24D80" w:rsidRDefault="000A3AC9">
      <w:pPr>
        <w:pStyle w:val="KMnormal"/>
      </w:pPr>
      <w:r>
        <w:t>Výjimky nejsou známy.</w:t>
      </w:r>
    </w:p>
    <w:p w14:paraId="1E48A7BB" w14:textId="77777777" w:rsidR="00E24D80" w:rsidRDefault="000A3AC9">
      <w:pPr>
        <w:pStyle w:val="KMnadpis3"/>
        <w:numPr>
          <w:ilvl w:val="0"/>
          <w:numId w:val="4"/>
        </w:numPr>
      </w:pPr>
      <w:bookmarkStart w:id="5" w:name="_Toc137721328"/>
      <w:r>
        <w:t>Informace o tom, zda a v jakých částech dokumentace jsou zohledněny podmínky závazných stanovisek dotčených orgánů:</w:t>
      </w:r>
      <w:bookmarkEnd w:id="5"/>
    </w:p>
    <w:p w14:paraId="1E48A7BC" w14:textId="77777777" w:rsidR="00E24D80" w:rsidRDefault="000A3AC9" w:rsidP="00082ABC">
      <w:pPr>
        <w:pStyle w:val="KMnormal"/>
        <w:jc w:val="both"/>
      </w:pPr>
      <w:r>
        <w:t xml:space="preserve">Stanoviska budou řešena následně. Případné podmínky budou zpracovány do aktualizace PD. </w:t>
      </w:r>
    </w:p>
    <w:p w14:paraId="1E48A7BD" w14:textId="77777777" w:rsidR="00E24D80" w:rsidRDefault="000A3AC9">
      <w:pPr>
        <w:pStyle w:val="KMnadpis3"/>
        <w:numPr>
          <w:ilvl w:val="0"/>
          <w:numId w:val="4"/>
        </w:numPr>
      </w:pPr>
      <w:bookmarkStart w:id="6" w:name="_Toc137721329"/>
      <w:r>
        <w:t>Výčet a závěry provedených průzkumů a rozborů – geologický průzkum, hydrogeologický průzkum, stavebně historický průzkum apod.:</w:t>
      </w:r>
      <w:bookmarkEnd w:id="6"/>
    </w:p>
    <w:p w14:paraId="1E48A7BE" w14:textId="73187E76" w:rsidR="00E24D80" w:rsidRDefault="000A3AC9" w:rsidP="00082ABC">
      <w:pPr>
        <w:pStyle w:val="KMnormal"/>
        <w:jc w:val="both"/>
      </w:pPr>
      <w:r>
        <w:t>Byl</w:t>
      </w:r>
      <w:r w:rsidR="008B05FB">
        <w:t>a provedena digitalizace dochovan</w:t>
      </w:r>
      <w:r w:rsidR="00586619">
        <w:t>é archivní dokumentace a byl</w:t>
      </w:r>
      <w:r>
        <w:t xml:space="preserve"> proveden stavebně technický průzkum za účelem zjištění některých stavebních konstrukcí. Závěry jsou zpracovány do této PD. </w:t>
      </w:r>
    </w:p>
    <w:p w14:paraId="1E48A7BF" w14:textId="77777777" w:rsidR="00E24D80" w:rsidRDefault="000A3AC9">
      <w:pPr>
        <w:pStyle w:val="KMnadpis3"/>
        <w:numPr>
          <w:ilvl w:val="0"/>
          <w:numId w:val="4"/>
        </w:numPr>
      </w:pPr>
      <w:bookmarkStart w:id="7" w:name="_Toc137721330"/>
      <w:r>
        <w:t>Ochrana území podle jiných právních předpisů:</w:t>
      </w:r>
      <w:bookmarkEnd w:id="7"/>
    </w:p>
    <w:p w14:paraId="1E48A7C0" w14:textId="77777777" w:rsidR="00E24D80" w:rsidRDefault="000A3AC9">
      <w:pPr>
        <w:pStyle w:val="KMnormal"/>
      </w:pPr>
      <w:r>
        <w:t>Neřeší se.</w:t>
      </w:r>
    </w:p>
    <w:p w14:paraId="1E48A7C1" w14:textId="77777777" w:rsidR="00E24D80" w:rsidRDefault="000A3AC9">
      <w:pPr>
        <w:pStyle w:val="KMnadpis3"/>
        <w:numPr>
          <w:ilvl w:val="0"/>
          <w:numId w:val="4"/>
        </w:numPr>
      </w:pPr>
      <w:bookmarkStart w:id="8" w:name="_Toc137721331"/>
      <w:r>
        <w:t>Poloha vzhledem k záplavovému území, poddolovanému území apod.:</w:t>
      </w:r>
      <w:bookmarkEnd w:id="8"/>
    </w:p>
    <w:p w14:paraId="1E48A7C2" w14:textId="77777777" w:rsidR="00E24D80" w:rsidRDefault="000A3AC9">
      <w:pPr>
        <w:pStyle w:val="KMnormal"/>
      </w:pPr>
      <w:r>
        <w:t xml:space="preserve">Stavební pozemek neleží v záplavovém území. </w:t>
      </w:r>
    </w:p>
    <w:p w14:paraId="1E48A7C3" w14:textId="77777777" w:rsidR="00E24D80" w:rsidRDefault="000A3AC9">
      <w:pPr>
        <w:pStyle w:val="KMnadpis3"/>
        <w:numPr>
          <w:ilvl w:val="0"/>
          <w:numId w:val="4"/>
        </w:numPr>
      </w:pPr>
      <w:bookmarkStart w:id="9" w:name="_Toc137721332"/>
      <w:r>
        <w:t>Vliv stavby na okolní stavby a pozemky, ochrana okolí, vliv stavby na odtokové poměry v území:</w:t>
      </w:r>
      <w:bookmarkEnd w:id="9"/>
    </w:p>
    <w:p w14:paraId="6E3EA4EF" w14:textId="77777777" w:rsidR="00082ABC" w:rsidRDefault="000A3AC9" w:rsidP="00082ABC">
      <w:pPr>
        <w:pStyle w:val="KMnormal"/>
        <w:jc w:val="both"/>
      </w:pPr>
      <w:r>
        <w:rPr>
          <w:u w:val="single"/>
        </w:rPr>
        <w:t>Řešení vlivu stavby, provozu nebo výroby na zdraví osob nebo na životní prostředí</w:t>
      </w:r>
      <w:r>
        <w:t>:</w:t>
      </w:r>
    </w:p>
    <w:p w14:paraId="295EEAB5" w14:textId="13F9B919" w:rsidR="00082ABC" w:rsidRDefault="000A3AC9" w:rsidP="00082ABC">
      <w:pPr>
        <w:pStyle w:val="KMnormal"/>
        <w:jc w:val="both"/>
      </w:pPr>
      <w:r>
        <w:t xml:space="preserve">Vzhledem k charakteru a rozsahu stavby se nepředpokládá negativní vliv na zdraví osob a životní prostředí. </w:t>
      </w:r>
    </w:p>
    <w:p w14:paraId="1F670C52" w14:textId="77777777" w:rsidR="00394A83" w:rsidRDefault="00394A83" w:rsidP="00082ABC">
      <w:pPr>
        <w:pStyle w:val="KMnormal"/>
        <w:jc w:val="both"/>
      </w:pPr>
    </w:p>
    <w:p w14:paraId="5C4EAB67" w14:textId="77777777" w:rsidR="00394A83" w:rsidRDefault="00394A83" w:rsidP="00082ABC">
      <w:pPr>
        <w:pStyle w:val="KMnormal"/>
        <w:jc w:val="both"/>
        <w:rPr>
          <w:u w:val="single"/>
        </w:rPr>
      </w:pPr>
    </w:p>
    <w:p w14:paraId="7585E4F4" w14:textId="77777777" w:rsidR="00082ABC" w:rsidRDefault="000A3AC9" w:rsidP="00082ABC">
      <w:pPr>
        <w:pStyle w:val="KMnormal"/>
        <w:jc w:val="both"/>
        <w:rPr>
          <w:u w:val="single"/>
        </w:rPr>
      </w:pPr>
      <w:r>
        <w:rPr>
          <w:u w:val="single"/>
        </w:rPr>
        <w:lastRenderedPageBreak/>
        <w:t>Řešení ochrany přírody a krajiny nebo vodních zdrojů a léčebných pramenů:</w:t>
      </w:r>
    </w:p>
    <w:p w14:paraId="06D3825A" w14:textId="5CC10FBE" w:rsidR="00082ABC" w:rsidRDefault="000A3AC9" w:rsidP="00082ABC">
      <w:pPr>
        <w:pStyle w:val="KMnormal"/>
        <w:jc w:val="both"/>
        <w:rPr>
          <w:u w:val="single"/>
        </w:rPr>
      </w:pPr>
      <w:r>
        <w:t xml:space="preserve">Navržená stavba nebude mít negativní účinek na řešení ochrany přírody nebo vodních zdrojů a léčebných pramenů. </w:t>
      </w:r>
    </w:p>
    <w:p w14:paraId="7AB72772" w14:textId="77777777" w:rsidR="00082ABC" w:rsidRDefault="000A3AC9" w:rsidP="00082ABC">
      <w:pPr>
        <w:pStyle w:val="KMnormal"/>
        <w:jc w:val="both"/>
      </w:pPr>
      <w:r>
        <w:rPr>
          <w:u w:val="single"/>
        </w:rPr>
        <w:t>Návrh ochranných a bezpečnostních pásem vyplývajících z charakteru realizované stavby</w:t>
      </w:r>
      <w:r>
        <w:t>:</w:t>
      </w:r>
    </w:p>
    <w:p w14:paraId="1E48A7C5" w14:textId="77D9D46C" w:rsidR="00E24D80" w:rsidRDefault="000A3AC9" w:rsidP="00082ABC">
      <w:pPr>
        <w:pStyle w:val="KMnormal"/>
        <w:jc w:val="both"/>
      </w:pPr>
      <w:r>
        <w:t>Neřeší se.</w:t>
      </w:r>
    </w:p>
    <w:p w14:paraId="5FD7E61B" w14:textId="77777777" w:rsidR="00082ABC" w:rsidRDefault="000A3AC9" w:rsidP="00082ABC">
      <w:pPr>
        <w:pStyle w:val="KMnormal"/>
      </w:pPr>
      <w:r>
        <w:rPr>
          <w:u w:val="single"/>
        </w:rPr>
        <w:t>Vliv stavby na odtokové poměry území</w:t>
      </w:r>
      <w:r>
        <w:t>:</w:t>
      </w:r>
    </w:p>
    <w:p w14:paraId="1E48A7C6" w14:textId="15365141" w:rsidR="00E24D80" w:rsidRDefault="000A3AC9" w:rsidP="00082ABC">
      <w:pPr>
        <w:pStyle w:val="KMnormal"/>
      </w:pPr>
      <w:r>
        <w:t>Vlivem výstavby nebudou zhoršeny odtokové poměry v okolí.</w:t>
      </w:r>
    </w:p>
    <w:p w14:paraId="1E48A7C7" w14:textId="77777777" w:rsidR="00E24D80" w:rsidRDefault="000A3AC9">
      <w:pPr>
        <w:pStyle w:val="KMnadpis3"/>
        <w:numPr>
          <w:ilvl w:val="0"/>
          <w:numId w:val="4"/>
        </w:numPr>
      </w:pPr>
      <w:bookmarkStart w:id="10" w:name="_Toc137721333"/>
      <w:r>
        <w:t>Požadavky na asanace, demolice, kácení dřevin:</w:t>
      </w:r>
      <w:bookmarkEnd w:id="10"/>
    </w:p>
    <w:p w14:paraId="1E48A7C8" w14:textId="07A44BA2" w:rsidR="00E24D80" w:rsidRDefault="000A3AC9" w:rsidP="00082ABC">
      <w:pPr>
        <w:pStyle w:val="KMnormal"/>
        <w:jc w:val="both"/>
      </w:pPr>
      <w:r>
        <w:t xml:space="preserve">Budou provedeny bourací a přípravné práce v řešené části </w:t>
      </w:r>
      <w:proofErr w:type="gramStart"/>
      <w:r>
        <w:t>objektu - bližší</w:t>
      </w:r>
      <w:proofErr w:type="gramEnd"/>
      <w:r>
        <w:t xml:space="preserve"> specifikace viz výkres</w:t>
      </w:r>
      <w:r w:rsidR="00082ABC">
        <w:t>y</w:t>
      </w:r>
      <w:r w:rsidR="00B879C2">
        <w:t xml:space="preserve"> stavebních úprav</w:t>
      </w:r>
      <w:r>
        <w:t>. Těmito pracemi do</w:t>
      </w:r>
      <w:r w:rsidR="00B879C2">
        <w:t xml:space="preserve">jde k demolici stávajících </w:t>
      </w:r>
      <w:r w:rsidR="00523189">
        <w:t xml:space="preserve">konstrukcí </w:t>
      </w:r>
      <w:r w:rsidR="00B879C2">
        <w:t>výtahů</w:t>
      </w:r>
      <w:r w:rsidR="003116D0">
        <w:t xml:space="preserve"> v centrální části objektu</w:t>
      </w:r>
      <w:r w:rsidR="00082ABC">
        <w:t>, vybourání příček a části stropních konstrukcí pro zvětšení výtahových šachet.</w:t>
      </w:r>
      <w:r w:rsidR="005E5366">
        <w:t xml:space="preserve"> </w:t>
      </w:r>
    </w:p>
    <w:p w14:paraId="1E48A7C9" w14:textId="77777777" w:rsidR="00E24D80" w:rsidRDefault="000A3AC9">
      <w:pPr>
        <w:pStyle w:val="KMnadpis3"/>
        <w:numPr>
          <w:ilvl w:val="0"/>
          <w:numId w:val="4"/>
        </w:numPr>
      </w:pPr>
      <w:bookmarkStart w:id="11" w:name="_Toc137721334"/>
      <w:r>
        <w:t>Požadavky na maximální dočasné a trvalé zábory zemědělského půdního fondu nebo pozemků určených k plnění funkce lesa:</w:t>
      </w:r>
      <w:bookmarkEnd w:id="11"/>
    </w:p>
    <w:p w14:paraId="1E48A7CA" w14:textId="5B2E420F" w:rsidR="00E24D80" w:rsidRDefault="00B110E4" w:rsidP="00082ABC">
      <w:pPr>
        <w:pStyle w:val="KMnormal"/>
        <w:jc w:val="both"/>
      </w:pPr>
      <w:r w:rsidRPr="00B110E4">
        <w:t>Nejsou dotčeny zájmy ochrany zemědělského půdního fondu. Nebo zájmy ochrany pozemků určených k plnění funkci lesa.</w:t>
      </w:r>
    </w:p>
    <w:p w14:paraId="1E48A7CB" w14:textId="77777777" w:rsidR="00E24D80" w:rsidRDefault="000A3AC9">
      <w:pPr>
        <w:pStyle w:val="KMnadpis3"/>
        <w:numPr>
          <w:ilvl w:val="0"/>
          <w:numId w:val="4"/>
        </w:numPr>
      </w:pPr>
      <w:bookmarkStart w:id="12" w:name="_Toc137721335"/>
      <w:r>
        <w:t>Územně technické podmínky – zejména možnost napojení na stávající dopravní a technickou infrastrukturu, možnost bezbariérového přístupu k navrhované stavbě:</w:t>
      </w:r>
      <w:bookmarkEnd w:id="12"/>
    </w:p>
    <w:p w14:paraId="1E48A7CC" w14:textId="19D018C5" w:rsidR="00E24D80" w:rsidRDefault="000A3AC9" w:rsidP="00082ABC">
      <w:pPr>
        <w:pStyle w:val="KMnormal"/>
        <w:jc w:val="both"/>
      </w:pPr>
      <w:r>
        <w:t xml:space="preserve">Jedná se o </w:t>
      </w:r>
      <w:r w:rsidR="001E1311">
        <w:t>rekonstrukci stávajících výtahů</w:t>
      </w:r>
      <w:r w:rsidR="00C97953">
        <w:t xml:space="preserve"> v centrální části objektu</w:t>
      </w:r>
      <w:r>
        <w:t xml:space="preserve">. Tento objekt je již napojen na veškerou infrastrukturu. </w:t>
      </w:r>
    </w:p>
    <w:p w14:paraId="1E48A7CD" w14:textId="77777777" w:rsidR="00E24D80" w:rsidRDefault="000A3AC9">
      <w:pPr>
        <w:pStyle w:val="KMnadpis3"/>
        <w:numPr>
          <w:ilvl w:val="0"/>
          <w:numId w:val="4"/>
        </w:numPr>
      </w:pPr>
      <w:bookmarkStart w:id="13" w:name="_Toc137721336"/>
      <w:r>
        <w:t>Věcné a časové vazby stavby, podmiňující, vyvolané, související investice:</w:t>
      </w:r>
      <w:bookmarkEnd w:id="13"/>
    </w:p>
    <w:p w14:paraId="1E48A7E2" w14:textId="3E0BD3D1" w:rsidR="00E24D80" w:rsidRDefault="001C46AC" w:rsidP="00AA19B5">
      <w:pPr>
        <w:pStyle w:val="KMnormal"/>
      </w:pPr>
      <w:r>
        <w:t>Neřeší se.</w:t>
      </w:r>
    </w:p>
    <w:p w14:paraId="24CE5AA4" w14:textId="3EA98356" w:rsidR="00082ABC" w:rsidRDefault="000A3AC9" w:rsidP="00082ABC">
      <w:pPr>
        <w:pStyle w:val="KMnadpis3"/>
        <w:numPr>
          <w:ilvl w:val="0"/>
          <w:numId w:val="4"/>
        </w:numPr>
      </w:pPr>
      <w:bookmarkStart w:id="14" w:name="_Toc137721337"/>
      <w:r>
        <w:t>Seznam pozemků podle katastru nemovitostí, na kterých vznikne ochranné nebo bezpečnostní pásmo:</w:t>
      </w:r>
      <w:bookmarkEnd w:id="14"/>
    </w:p>
    <w:p w14:paraId="08203F1B" w14:textId="77777777" w:rsidR="003C7BDA" w:rsidRDefault="003C7BDA" w:rsidP="003C7BDA">
      <w:pPr>
        <w:pStyle w:val="KMnadpis3"/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1413"/>
        <w:gridCol w:w="2977"/>
        <w:gridCol w:w="1984"/>
        <w:gridCol w:w="2977"/>
      </w:tblGrid>
      <w:tr w:rsidR="007C4AC3" w14:paraId="6A878953" w14:textId="77777777" w:rsidTr="003C7BDA">
        <w:tc>
          <w:tcPr>
            <w:tcW w:w="1413" w:type="dxa"/>
            <w:vAlign w:val="center"/>
          </w:tcPr>
          <w:p w14:paraId="17F3CBAA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Parcelní č.</w:t>
            </w:r>
          </w:p>
        </w:tc>
        <w:tc>
          <w:tcPr>
            <w:tcW w:w="2977" w:type="dxa"/>
            <w:vAlign w:val="center"/>
          </w:tcPr>
          <w:p w14:paraId="7ED90422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Vlastník</w:t>
            </w:r>
          </w:p>
        </w:tc>
        <w:tc>
          <w:tcPr>
            <w:tcW w:w="1984" w:type="dxa"/>
            <w:vAlign w:val="center"/>
          </w:tcPr>
          <w:p w14:paraId="66808236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Výměra [m</w:t>
            </w:r>
            <w:r>
              <w:rPr>
                <w:rFonts w:cs="Times New Roman"/>
              </w:rPr>
              <w:t>²</w:t>
            </w:r>
            <w:r>
              <w:t>]</w:t>
            </w:r>
          </w:p>
        </w:tc>
        <w:tc>
          <w:tcPr>
            <w:tcW w:w="2977" w:type="dxa"/>
            <w:vAlign w:val="center"/>
          </w:tcPr>
          <w:p w14:paraId="6B10472D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Druh pozemku</w:t>
            </w:r>
          </w:p>
        </w:tc>
      </w:tr>
      <w:tr w:rsidR="007C4AC3" w14:paraId="5409E39A" w14:textId="77777777" w:rsidTr="003C7BDA">
        <w:tc>
          <w:tcPr>
            <w:tcW w:w="1413" w:type="dxa"/>
            <w:vAlign w:val="center"/>
          </w:tcPr>
          <w:p w14:paraId="6CAC1848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St. 472</w:t>
            </w:r>
          </w:p>
        </w:tc>
        <w:tc>
          <w:tcPr>
            <w:tcW w:w="2977" w:type="dxa"/>
            <w:vAlign w:val="center"/>
          </w:tcPr>
          <w:p w14:paraId="212C67E9" w14:textId="77777777" w:rsidR="007C4AC3" w:rsidRDefault="007C4AC3" w:rsidP="003C7BDA">
            <w:pPr>
              <w:pStyle w:val="KMnormal"/>
              <w:spacing w:after="0"/>
              <w:ind w:left="0"/>
            </w:pPr>
            <w:r>
              <w:t>město Otrokovice,</w:t>
            </w:r>
            <w:r>
              <w:br/>
              <w:t>nám. 3. května 1340,</w:t>
            </w:r>
            <w:r>
              <w:br/>
              <w:t>765 02 Otrokovice</w:t>
            </w:r>
          </w:p>
        </w:tc>
        <w:tc>
          <w:tcPr>
            <w:tcW w:w="1984" w:type="dxa"/>
            <w:vAlign w:val="center"/>
          </w:tcPr>
          <w:p w14:paraId="3F9B22E5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1092</w:t>
            </w:r>
          </w:p>
        </w:tc>
        <w:tc>
          <w:tcPr>
            <w:tcW w:w="2977" w:type="dxa"/>
            <w:vAlign w:val="center"/>
          </w:tcPr>
          <w:p w14:paraId="3D968F72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zastavěná plocha a nádvoří</w:t>
            </w:r>
          </w:p>
        </w:tc>
      </w:tr>
      <w:tr w:rsidR="007C4AC3" w14:paraId="4D0E9B50" w14:textId="77777777" w:rsidTr="003C7BDA">
        <w:trPr>
          <w:trHeight w:val="1351"/>
        </w:trPr>
        <w:tc>
          <w:tcPr>
            <w:tcW w:w="1413" w:type="dxa"/>
            <w:vAlign w:val="center"/>
          </w:tcPr>
          <w:p w14:paraId="1A6D66F6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1502/37</w:t>
            </w:r>
          </w:p>
        </w:tc>
        <w:tc>
          <w:tcPr>
            <w:tcW w:w="2977" w:type="dxa"/>
            <w:vAlign w:val="center"/>
          </w:tcPr>
          <w:p w14:paraId="7213A0F0" w14:textId="77777777" w:rsidR="007C4AC3" w:rsidRDefault="007C4AC3" w:rsidP="003C7BDA">
            <w:pPr>
              <w:pStyle w:val="KMnormal"/>
              <w:spacing w:after="0"/>
              <w:ind w:left="0"/>
            </w:pPr>
            <w:r>
              <w:t>město Otrokovice,</w:t>
            </w:r>
            <w:r>
              <w:br/>
              <w:t>nám. 3. května 1340,</w:t>
            </w:r>
            <w:r>
              <w:br/>
              <w:t>765 02 Otrokovice</w:t>
            </w:r>
          </w:p>
        </w:tc>
        <w:tc>
          <w:tcPr>
            <w:tcW w:w="1984" w:type="dxa"/>
            <w:vAlign w:val="center"/>
          </w:tcPr>
          <w:p w14:paraId="76121284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8279</w:t>
            </w:r>
          </w:p>
        </w:tc>
        <w:tc>
          <w:tcPr>
            <w:tcW w:w="2977" w:type="dxa"/>
            <w:vAlign w:val="center"/>
          </w:tcPr>
          <w:p w14:paraId="2E5D518F" w14:textId="77777777" w:rsidR="007C4AC3" w:rsidRDefault="007C4AC3" w:rsidP="003C7BDA">
            <w:pPr>
              <w:pStyle w:val="KMnormal"/>
              <w:spacing w:after="0"/>
              <w:ind w:left="0"/>
              <w:jc w:val="center"/>
            </w:pPr>
            <w:r>
              <w:t>ostatní plocha</w:t>
            </w:r>
          </w:p>
        </w:tc>
      </w:tr>
    </w:tbl>
    <w:p w14:paraId="1E48A7F7" w14:textId="77777777" w:rsidR="00E24D80" w:rsidRDefault="000A3AC9">
      <w:pPr>
        <w:pStyle w:val="KMnadpis1"/>
        <w:numPr>
          <w:ilvl w:val="0"/>
          <w:numId w:val="2"/>
        </w:numPr>
      </w:pPr>
      <w:bookmarkStart w:id="15" w:name="_Toc137721338"/>
      <w:bookmarkStart w:id="16" w:name="_Toc137723563"/>
      <w:r>
        <w:lastRenderedPageBreak/>
        <w:t>Celkový popis stavby</w:t>
      </w:r>
      <w:bookmarkEnd w:id="15"/>
      <w:bookmarkEnd w:id="16"/>
    </w:p>
    <w:p w14:paraId="1E48A7F8" w14:textId="77777777" w:rsidR="00E24D80" w:rsidRDefault="000A3AC9">
      <w:pPr>
        <w:pStyle w:val="KMnadpis2"/>
        <w:numPr>
          <w:ilvl w:val="1"/>
          <w:numId w:val="2"/>
        </w:numPr>
      </w:pPr>
      <w:bookmarkStart w:id="17" w:name="_Toc137721339"/>
      <w:bookmarkStart w:id="18" w:name="_Toc137723564"/>
      <w:r>
        <w:t>Základní charakteristika stavby a jejího užívání</w:t>
      </w:r>
      <w:bookmarkEnd w:id="17"/>
      <w:bookmarkEnd w:id="18"/>
    </w:p>
    <w:p w14:paraId="1E48A7F9" w14:textId="77777777" w:rsidR="00E24D80" w:rsidRDefault="000A3AC9">
      <w:pPr>
        <w:pStyle w:val="KMnadpis3"/>
        <w:numPr>
          <w:ilvl w:val="0"/>
          <w:numId w:val="3"/>
        </w:numPr>
      </w:pPr>
      <w:bookmarkStart w:id="19" w:name="_Toc137721340"/>
      <w:r>
        <w:t>Nová stavba nebo změna dokončené stavby; u změny stavby údaje o jejich současném stavu, závěry stavebně technického, případně stavebně historického průzkumu a výsledky statického posouzení nosných konstrukcí:</w:t>
      </w:r>
      <w:bookmarkEnd w:id="19"/>
      <w:r>
        <w:t xml:space="preserve"> </w:t>
      </w:r>
    </w:p>
    <w:p w14:paraId="67DDF903" w14:textId="58583666" w:rsidR="003C7BDA" w:rsidRDefault="003C7BDA" w:rsidP="003C7BDA">
      <w:pPr>
        <w:pStyle w:val="KMnormal"/>
        <w:rPr>
          <w:u w:val="single"/>
        </w:rPr>
      </w:pPr>
      <w:r>
        <w:rPr>
          <w:u w:val="single"/>
        </w:rPr>
        <w:t>Stávající</w:t>
      </w:r>
      <w:r w:rsidR="000A3AC9">
        <w:rPr>
          <w:u w:val="single"/>
        </w:rPr>
        <w:t xml:space="preserve"> stav</w:t>
      </w:r>
    </w:p>
    <w:p w14:paraId="1E48A7FA" w14:textId="355926C9" w:rsidR="00E24D80" w:rsidRDefault="000A3AC9" w:rsidP="003C7BDA">
      <w:pPr>
        <w:pStyle w:val="KMnormal"/>
        <w:jc w:val="both"/>
      </w:pPr>
      <w:r>
        <w:t xml:space="preserve">Stávající stavba má </w:t>
      </w:r>
      <w:r w:rsidR="00D17EF9">
        <w:t>4</w:t>
      </w:r>
      <w:r>
        <w:t xml:space="preserve"> nadzemní podlaží </w:t>
      </w:r>
      <w:r w:rsidR="003C7BDA">
        <w:t>a je zastřešen</w:t>
      </w:r>
      <w:r>
        <w:t xml:space="preserve"> plochou střechou. Objekt je </w:t>
      </w:r>
      <w:r w:rsidR="00292670">
        <w:t>ne</w:t>
      </w:r>
      <w:r>
        <w:t>podsklepený.</w:t>
      </w:r>
      <w:r w:rsidR="00292670">
        <w:t xml:space="preserve"> </w:t>
      </w:r>
      <w:r>
        <w:t xml:space="preserve">Hlavní nosnou konstrukci objektu tvoří </w:t>
      </w:r>
      <w:r w:rsidR="00DF7CF8">
        <w:t>stěnový systém z keramických cihel s monolitickým železobetonovým stropem.</w:t>
      </w:r>
      <w:r>
        <w:t xml:space="preserve"> </w:t>
      </w:r>
      <w:r w:rsidR="00622C1B">
        <w:t>Stěny tvořící výtahové šachty jsou vyzděny z</w:t>
      </w:r>
      <w:r w:rsidR="00210BA0">
        <w:t xml:space="preserve"> keramických cihel CDM – tloušťka stěny </w:t>
      </w:r>
      <w:r w:rsidR="003C7BDA">
        <w:t xml:space="preserve">je </w:t>
      </w:r>
      <w:r w:rsidR="00210BA0">
        <w:t xml:space="preserve">250 mm. </w:t>
      </w:r>
    </w:p>
    <w:p w14:paraId="40975BA4" w14:textId="69E2E95E" w:rsidR="003C7BDA" w:rsidRPr="00394A83" w:rsidRDefault="000A3AC9">
      <w:pPr>
        <w:pStyle w:val="KMnormal"/>
        <w:rPr>
          <w:u w:val="single"/>
        </w:rPr>
      </w:pPr>
      <w:r w:rsidRPr="00394A83">
        <w:rPr>
          <w:u w:val="single"/>
        </w:rPr>
        <w:t>Nový stav</w:t>
      </w:r>
    </w:p>
    <w:p w14:paraId="1E48A7FB" w14:textId="56564AF8" w:rsidR="00E24D80" w:rsidRPr="00394A83" w:rsidRDefault="00394A83" w:rsidP="00394A83">
      <w:pPr>
        <w:pStyle w:val="KMnormal"/>
        <w:jc w:val="both"/>
      </w:pPr>
      <w:r w:rsidRPr="00394A83">
        <w:t xml:space="preserve">Jedná se o </w:t>
      </w:r>
      <w:r w:rsidR="00910E8B">
        <w:t>2</w:t>
      </w:r>
      <w:r w:rsidRPr="00394A83">
        <w:t xml:space="preserve">. etapu rekonstrukce stávajících výtahů, kdy budou umístěny výtahy s parametry evakuačních výtahů. </w:t>
      </w:r>
      <w:r>
        <w:t xml:space="preserve">Výtahy se stanou evakuačními až po dokončení samostatných navazujících etap – umístění náhradního zdroje výtahů a dispoziční úpravy dle požadavků PBŘ, které nejsou součástí tohoto projektu. </w:t>
      </w:r>
      <w:r w:rsidR="003C7BDA" w:rsidRPr="00394A83">
        <w:t xml:space="preserve">V rámci </w:t>
      </w:r>
      <w:r w:rsidRPr="00394A83">
        <w:t xml:space="preserve">stavební </w:t>
      </w:r>
      <w:r w:rsidR="003C7BDA" w:rsidRPr="00394A83">
        <w:t>přípravy budou provedeny bourací a přípravné práce pro zvětšení výtahový šachet</w:t>
      </w:r>
      <w:r w:rsidRPr="00394A83">
        <w:t>.</w:t>
      </w:r>
    </w:p>
    <w:p w14:paraId="1E48A7FC" w14:textId="77777777" w:rsidR="00E24D80" w:rsidRDefault="000A3AC9">
      <w:pPr>
        <w:pStyle w:val="KMnadpis3"/>
        <w:numPr>
          <w:ilvl w:val="0"/>
          <w:numId w:val="3"/>
        </w:numPr>
      </w:pPr>
      <w:bookmarkStart w:id="20" w:name="_Toc137721341"/>
      <w:r>
        <w:t>Účel užívání stavby:</w:t>
      </w:r>
      <w:bookmarkEnd w:id="20"/>
    </w:p>
    <w:p w14:paraId="1E48A7FD" w14:textId="37F5A5F2" w:rsidR="00E24D80" w:rsidRDefault="000A3AC9">
      <w:pPr>
        <w:pStyle w:val="KMnormal"/>
      </w:pPr>
      <w:r>
        <w:t>Jedná se o objekt občanské vybavenosti</w:t>
      </w:r>
      <w:r w:rsidR="00AC2F11">
        <w:t xml:space="preserve"> – dům s pečovatelskou službou</w:t>
      </w:r>
      <w:r>
        <w:t xml:space="preserve">. </w:t>
      </w:r>
    </w:p>
    <w:p w14:paraId="1E48A7FE" w14:textId="77777777" w:rsidR="00E24D80" w:rsidRDefault="000A3AC9">
      <w:pPr>
        <w:pStyle w:val="KMnadpis3"/>
        <w:numPr>
          <w:ilvl w:val="0"/>
          <w:numId w:val="3"/>
        </w:numPr>
      </w:pPr>
      <w:bookmarkStart w:id="21" w:name="_Toc137721342"/>
      <w:r>
        <w:t>Trvalá nebo dočasná stavba:</w:t>
      </w:r>
      <w:bookmarkEnd w:id="21"/>
    </w:p>
    <w:p w14:paraId="1E48A7FF" w14:textId="77777777" w:rsidR="00E24D80" w:rsidRDefault="000A3AC9">
      <w:pPr>
        <w:pStyle w:val="KMnormal"/>
      </w:pPr>
      <w:r>
        <w:t xml:space="preserve">Trvalá stavba. </w:t>
      </w:r>
    </w:p>
    <w:p w14:paraId="1E48A800" w14:textId="77777777" w:rsidR="00E24D80" w:rsidRDefault="000A3AC9">
      <w:pPr>
        <w:pStyle w:val="KMnadpis3"/>
        <w:numPr>
          <w:ilvl w:val="0"/>
          <w:numId w:val="3"/>
        </w:numPr>
      </w:pPr>
      <w:bookmarkStart w:id="22" w:name="_Toc137721343"/>
      <w:r>
        <w:t>Informace o vydaných rozhodnutích o povolení výjimky z technických požadavků na stavby a technických požadavků zabezpečujících bezbariérové užívání stavby:</w:t>
      </w:r>
      <w:bookmarkEnd w:id="22"/>
    </w:p>
    <w:p w14:paraId="1E48A801" w14:textId="77777777" w:rsidR="00E24D80" w:rsidRDefault="000A3AC9">
      <w:pPr>
        <w:pStyle w:val="KMnormal"/>
      </w:pPr>
      <w:r>
        <w:t>Neřeší se.</w:t>
      </w:r>
    </w:p>
    <w:p w14:paraId="1E48A802" w14:textId="77777777" w:rsidR="00E24D80" w:rsidRDefault="000A3AC9">
      <w:pPr>
        <w:pStyle w:val="KMnadpis3"/>
        <w:numPr>
          <w:ilvl w:val="0"/>
          <w:numId w:val="3"/>
        </w:numPr>
      </w:pPr>
      <w:bookmarkStart w:id="23" w:name="_Toc137721344"/>
      <w:r>
        <w:t>Informace o tom, zda a v jakých částech dokumentace jsou zohledněny podmínky závazných stanovisek dotčených orgánů:</w:t>
      </w:r>
      <w:bookmarkEnd w:id="23"/>
      <w:r>
        <w:t xml:space="preserve"> </w:t>
      </w:r>
    </w:p>
    <w:p w14:paraId="1E48A803" w14:textId="2029E98B" w:rsidR="00E24D80" w:rsidRDefault="003C7BDA" w:rsidP="003C7BDA">
      <w:pPr>
        <w:pStyle w:val="KMnormal"/>
        <w:jc w:val="both"/>
      </w:pPr>
      <w:r w:rsidRPr="00D47D55">
        <w:t>Případné podmínky závazných stanovisek dotčených orgánů budou doplněny do PD před podáním žádosti o stavební povolení na stavební úřad</w:t>
      </w:r>
      <w:r w:rsidR="000A3AC9">
        <w:t xml:space="preserve">. </w:t>
      </w:r>
    </w:p>
    <w:p w14:paraId="1E48A804" w14:textId="77777777" w:rsidR="00E24D80" w:rsidRDefault="000A3AC9">
      <w:pPr>
        <w:pStyle w:val="KMnadpis3"/>
        <w:numPr>
          <w:ilvl w:val="0"/>
          <w:numId w:val="3"/>
        </w:numPr>
      </w:pPr>
      <w:bookmarkStart w:id="24" w:name="_Toc137721345"/>
      <w:r>
        <w:t>Ochrana stavby podle jiných právních předpisů:</w:t>
      </w:r>
      <w:bookmarkEnd w:id="24"/>
    </w:p>
    <w:p w14:paraId="1E48A805" w14:textId="000F7AA9" w:rsidR="00E24D80" w:rsidRDefault="003C7BDA">
      <w:pPr>
        <w:pStyle w:val="KMnormal"/>
      </w:pPr>
      <w:r>
        <w:t>Na stavbu se nevztahuje žádná ochrana dle jiných právních předpisů</w:t>
      </w:r>
      <w:r w:rsidR="000A3AC9">
        <w:t xml:space="preserve">. </w:t>
      </w:r>
    </w:p>
    <w:p w14:paraId="1E48A806" w14:textId="77777777" w:rsidR="00E24D80" w:rsidRDefault="000A3AC9">
      <w:pPr>
        <w:pStyle w:val="KMnadpis3"/>
        <w:numPr>
          <w:ilvl w:val="0"/>
          <w:numId w:val="3"/>
        </w:numPr>
      </w:pPr>
      <w:bookmarkStart w:id="25" w:name="_Toc137721346"/>
      <w:r>
        <w:t>Navrhované parametry stavby – zastavěná plocha, obestavěný prostor, užitná plocha, počet funkčních jednotek a jejich velikost apod.:</w:t>
      </w:r>
      <w:bookmarkEnd w:id="25"/>
    </w:p>
    <w:p w14:paraId="1E48A809" w14:textId="55EE3B8F" w:rsidR="00E24D80" w:rsidRPr="00972F86" w:rsidRDefault="006C226E" w:rsidP="006C226E">
      <w:pPr>
        <w:pStyle w:val="KMnormal"/>
        <w:spacing w:before="60" w:after="80"/>
        <w:rPr>
          <w:rFonts w:ascii="Calibri" w:hAnsi="Calibri" w:cs="Calibri"/>
        </w:rPr>
      </w:pPr>
      <w:r>
        <w:t>Zas</w:t>
      </w:r>
      <w:r w:rsidR="00F36DE9">
        <w:t>tavená plocha a obestavěný prostor se rekonstrukcí výtahu nemění.</w:t>
      </w:r>
    </w:p>
    <w:p w14:paraId="1E48A80A" w14:textId="77777777" w:rsidR="00E24D80" w:rsidRDefault="00E24D80">
      <w:pPr>
        <w:pStyle w:val="KMnormal"/>
        <w:spacing w:before="60" w:after="80"/>
        <w:rPr>
          <w:rFonts w:ascii="Calibri" w:hAnsi="Calibri" w:cs="Calibri"/>
          <w:highlight w:val="red"/>
        </w:rPr>
      </w:pPr>
    </w:p>
    <w:p w14:paraId="1E48A80B" w14:textId="77777777" w:rsidR="00E24D80" w:rsidRDefault="000A3AC9">
      <w:pPr>
        <w:pStyle w:val="KMnadpis3"/>
        <w:numPr>
          <w:ilvl w:val="0"/>
          <w:numId w:val="3"/>
        </w:numPr>
      </w:pPr>
      <w:bookmarkStart w:id="26" w:name="_Toc137721347"/>
      <w:r>
        <w:lastRenderedPageBreak/>
        <w:t>Základní bilance stavby – potřeby a spotřeby médií a hmot, hospodaření s dešťovou vodou, celkové produkované množství a druhy odpadů a emisí, třída energetické náročnosti budovy apod.:</w:t>
      </w:r>
      <w:bookmarkEnd w:id="26"/>
    </w:p>
    <w:p w14:paraId="1E48A845" w14:textId="32D5916C" w:rsidR="00E24D80" w:rsidRPr="00616278" w:rsidRDefault="00616278">
      <w:pPr>
        <w:pStyle w:val="KMnormal"/>
      </w:pPr>
      <w:r>
        <w:t>Při rekonstrukci výtahů nedojde ke změnám v základních bilancích stavby.</w:t>
      </w:r>
    </w:p>
    <w:p w14:paraId="1E48A846" w14:textId="77777777" w:rsidR="00E24D80" w:rsidRPr="00C51E37" w:rsidRDefault="000A3AC9">
      <w:pPr>
        <w:pStyle w:val="KMnadpis3"/>
        <w:numPr>
          <w:ilvl w:val="0"/>
          <w:numId w:val="3"/>
        </w:numPr>
      </w:pPr>
      <w:bookmarkStart w:id="27" w:name="_Toc137721348"/>
      <w:r>
        <w:t xml:space="preserve">Základná předpoklady výstavby – časové údaje o realizaci stavby, </w:t>
      </w:r>
      <w:r w:rsidRPr="00C51E37">
        <w:t>členění na etapy:</w:t>
      </w:r>
      <w:bookmarkEnd w:id="27"/>
    </w:p>
    <w:p w14:paraId="45043DEB" w14:textId="745CBA5E" w:rsidR="0020321E" w:rsidRPr="00C51E37" w:rsidRDefault="0020321E" w:rsidP="0020321E">
      <w:pPr>
        <w:pStyle w:val="KMnormal"/>
      </w:pPr>
      <w:r w:rsidRPr="00C51E37">
        <w:t xml:space="preserve">Zahájení stavby: </w:t>
      </w:r>
      <w:r w:rsidR="003C7BDA" w:rsidRPr="00C51E37">
        <w:tab/>
      </w:r>
      <w:r w:rsidR="00394A83" w:rsidRPr="00C51E37">
        <w:t>0</w:t>
      </w:r>
      <w:r w:rsidR="00326FF1" w:rsidRPr="00C51E37">
        <w:t>9</w:t>
      </w:r>
      <w:r w:rsidR="00394A83" w:rsidRPr="00C51E37">
        <w:t>/</w:t>
      </w:r>
      <w:r w:rsidRPr="00C51E37">
        <w:t>202</w:t>
      </w:r>
      <w:r w:rsidR="00394A83" w:rsidRPr="00C51E37">
        <w:t>4</w:t>
      </w:r>
      <w:r w:rsidRPr="00C51E37">
        <w:t xml:space="preserve"> </w:t>
      </w:r>
    </w:p>
    <w:p w14:paraId="4EC84CCB" w14:textId="15910195" w:rsidR="0020321E" w:rsidRPr="00C51E37" w:rsidRDefault="0020321E" w:rsidP="0020321E">
      <w:pPr>
        <w:pStyle w:val="KMnormal"/>
      </w:pPr>
      <w:r w:rsidRPr="00C51E37">
        <w:t xml:space="preserve">Dokončení stavby: </w:t>
      </w:r>
      <w:r w:rsidR="003C7BDA" w:rsidRPr="00C51E37">
        <w:tab/>
      </w:r>
      <w:r w:rsidR="00394A83" w:rsidRPr="00C51E37">
        <w:t>0</w:t>
      </w:r>
      <w:r w:rsidR="00C51E37" w:rsidRPr="00C51E37">
        <w:t>1</w:t>
      </w:r>
      <w:r w:rsidR="00394A83" w:rsidRPr="00C51E37">
        <w:t>/2025</w:t>
      </w:r>
      <w:r w:rsidRPr="00C51E37">
        <w:t xml:space="preserve"> </w:t>
      </w:r>
    </w:p>
    <w:p w14:paraId="1E48A847" w14:textId="43D089FA" w:rsidR="00E24D80" w:rsidRPr="00C51E37" w:rsidRDefault="0020321E" w:rsidP="0020321E">
      <w:pPr>
        <w:pStyle w:val="KMnormal"/>
      </w:pPr>
      <w:r w:rsidRPr="00C51E37">
        <w:t xml:space="preserve">Doba výstavby: </w:t>
      </w:r>
      <w:r w:rsidR="003C7BDA" w:rsidRPr="00C51E37">
        <w:tab/>
        <w:t xml:space="preserve">cca </w:t>
      </w:r>
      <w:r w:rsidR="00C51E37" w:rsidRPr="00C51E37">
        <w:t>5</w:t>
      </w:r>
      <w:r w:rsidR="003C7BDA" w:rsidRPr="00C51E37">
        <w:t xml:space="preserve"> měsíců</w:t>
      </w:r>
    </w:p>
    <w:p w14:paraId="1E48A848" w14:textId="77777777" w:rsidR="00E24D80" w:rsidRPr="00C51E37" w:rsidRDefault="000A3AC9">
      <w:pPr>
        <w:pStyle w:val="KMnadpis3"/>
        <w:numPr>
          <w:ilvl w:val="0"/>
          <w:numId w:val="3"/>
        </w:numPr>
      </w:pPr>
      <w:bookmarkStart w:id="28" w:name="_Toc137721349"/>
      <w:r w:rsidRPr="00C51E37">
        <w:t>Orientační náklady stavby:</w:t>
      </w:r>
      <w:bookmarkEnd w:id="28"/>
    </w:p>
    <w:p w14:paraId="1E48A849" w14:textId="6E086BA7" w:rsidR="00E24D80" w:rsidRDefault="005D070E" w:rsidP="00972F86">
      <w:pPr>
        <w:pStyle w:val="KMnormal"/>
        <w:ind w:firstLine="26"/>
      </w:pPr>
      <w:r>
        <w:t>1 950 000</w:t>
      </w:r>
      <w:r w:rsidR="00D20236" w:rsidRPr="00C51E37">
        <w:t>,- Kč</w:t>
      </w:r>
      <w:r w:rsidR="0097638B">
        <w:t xml:space="preserve"> bez DPH</w:t>
      </w:r>
    </w:p>
    <w:p w14:paraId="1E48A84A" w14:textId="77777777" w:rsidR="00E24D80" w:rsidRDefault="000A3AC9">
      <w:pPr>
        <w:pStyle w:val="KMnadpis2"/>
        <w:numPr>
          <w:ilvl w:val="1"/>
          <w:numId w:val="2"/>
        </w:numPr>
      </w:pPr>
      <w:bookmarkStart w:id="29" w:name="_Toc137721350"/>
      <w:bookmarkStart w:id="30" w:name="_Toc137723565"/>
      <w:r>
        <w:t>Celkové urbanistické a architektonické řešení stavby</w:t>
      </w:r>
      <w:bookmarkEnd w:id="29"/>
      <w:bookmarkEnd w:id="30"/>
    </w:p>
    <w:p w14:paraId="1E48A84B" w14:textId="77777777" w:rsidR="00E24D80" w:rsidRDefault="000A3AC9">
      <w:pPr>
        <w:pStyle w:val="KMnadpis3"/>
        <w:numPr>
          <w:ilvl w:val="0"/>
          <w:numId w:val="1"/>
        </w:numPr>
      </w:pPr>
      <w:bookmarkStart w:id="31" w:name="_Toc137721351"/>
      <w:r>
        <w:t>Urbanismus – územní regulace, kompozice prostorového řešení:</w:t>
      </w:r>
      <w:bookmarkEnd w:id="31"/>
    </w:p>
    <w:p w14:paraId="5123F7A2" w14:textId="77777777" w:rsidR="00394A83" w:rsidRDefault="00394A83" w:rsidP="003C7BDA">
      <w:pPr>
        <w:pStyle w:val="KMnormal"/>
        <w:jc w:val="both"/>
      </w:pPr>
      <w:r w:rsidRPr="00394A83">
        <w:t xml:space="preserve">Vzhled řešené budovy se rekonstrukcí výtahů se nemění. </w:t>
      </w:r>
    </w:p>
    <w:p w14:paraId="7094C06B" w14:textId="79FBEF9B" w:rsidR="00145A5C" w:rsidRDefault="00DD35C2" w:rsidP="003C7BDA">
      <w:pPr>
        <w:pStyle w:val="KMnormal"/>
        <w:jc w:val="both"/>
      </w:pPr>
      <w:r>
        <w:t xml:space="preserve">Stávající výtahy budou </w:t>
      </w:r>
      <w:r w:rsidR="003C7BDA">
        <w:t>demontovány</w:t>
      </w:r>
      <w:r>
        <w:t xml:space="preserve"> a </w:t>
      </w:r>
      <w:r w:rsidR="00994296">
        <w:t>nahrazeny dvěma novými</w:t>
      </w:r>
      <w:r w:rsidR="003C7BDA">
        <w:t xml:space="preserve"> výtahy</w:t>
      </w:r>
      <w:r w:rsidR="00394A83">
        <w:t xml:space="preserve"> s parametry evakuačních výtahů</w:t>
      </w:r>
      <w:r w:rsidR="00145A5C">
        <w:t>.</w:t>
      </w:r>
      <w:r w:rsidR="003C7BDA">
        <w:t xml:space="preserve"> V rámci stavebních příprav dojde k bouracím pracím se záměrem zvětšení výtahových </w:t>
      </w:r>
      <w:r w:rsidR="00394A83">
        <w:t>šachet.</w:t>
      </w:r>
    </w:p>
    <w:p w14:paraId="1E48A84D" w14:textId="77777777" w:rsidR="00E24D80" w:rsidRDefault="000A3AC9">
      <w:pPr>
        <w:pStyle w:val="KMnadpis3"/>
        <w:numPr>
          <w:ilvl w:val="0"/>
          <w:numId w:val="1"/>
        </w:numPr>
      </w:pPr>
      <w:bookmarkStart w:id="32" w:name="_Toc137721352"/>
      <w:r>
        <w:t>Architektonické řešení – kompozice tvarového řešení, materiálové a barevné řešení:</w:t>
      </w:r>
      <w:bookmarkEnd w:id="32"/>
    </w:p>
    <w:p w14:paraId="1E48A84E" w14:textId="7F532D6D" w:rsidR="00E24D80" w:rsidRDefault="00AD651D">
      <w:pPr>
        <w:pStyle w:val="KMnormal"/>
      </w:pPr>
      <w:r>
        <w:t xml:space="preserve">Vzhled řešené budovy se rekonstrukcí výtahů </w:t>
      </w:r>
      <w:r w:rsidR="005E5366">
        <w:t xml:space="preserve">se </w:t>
      </w:r>
      <w:r w:rsidR="00394A83">
        <w:t>ne</w:t>
      </w:r>
      <w:r w:rsidR="005E5366">
        <w:t xml:space="preserve">mění. </w:t>
      </w:r>
    </w:p>
    <w:p w14:paraId="1E48A84F" w14:textId="77777777" w:rsidR="00E24D80" w:rsidRDefault="000A3AC9">
      <w:pPr>
        <w:pStyle w:val="KMnadpis2"/>
        <w:numPr>
          <w:ilvl w:val="1"/>
          <w:numId w:val="2"/>
        </w:numPr>
      </w:pPr>
      <w:bookmarkStart w:id="33" w:name="_Toc137721353"/>
      <w:bookmarkStart w:id="34" w:name="_Toc137723566"/>
      <w:r>
        <w:t>Celkové provozní řešení, technologie výroby</w:t>
      </w:r>
      <w:bookmarkEnd w:id="33"/>
      <w:bookmarkEnd w:id="34"/>
    </w:p>
    <w:p w14:paraId="1E48A850" w14:textId="46B4CFE6" w:rsidR="00E24D80" w:rsidRDefault="00247F76" w:rsidP="003C7BDA">
      <w:pPr>
        <w:pStyle w:val="KMnormal"/>
        <w:jc w:val="both"/>
      </w:pPr>
      <w:r w:rsidRPr="003C7BDA">
        <w:t xml:space="preserve">V závislosti na typu objektu není řešeno. </w:t>
      </w:r>
    </w:p>
    <w:p w14:paraId="1E48A851" w14:textId="77777777" w:rsidR="00E24D80" w:rsidRDefault="000A3AC9">
      <w:pPr>
        <w:pStyle w:val="KMnadpis2"/>
        <w:numPr>
          <w:ilvl w:val="1"/>
          <w:numId w:val="2"/>
        </w:numPr>
      </w:pPr>
      <w:bookmarkStart w:id="35" w:name="_Toc137721354"/>
      <w:bookmarkStart w:id="36" w:name="_Toc137723567"/>
      <w:r>
        <w:t>Bezbariérové užívání stavby</w:t>
      </w:r>
      <w:bookmarkEnd w:id="35"/>
      <w:bookmarkEnd w:id="36"/>
    </w:p>
    <w:p w14:paraId="1E48A852" w14:textId="77777777" w:rsidR="00E24D80" w:rsidRPr="003C7BDA" w:rsidRDefault="000A3AC9" w:rsidP="003C7BDA">
      <w:pPr>
        <w:pStyle w:val="KMnormal"/>
        <w:jc w:val="both"/>
      </w:pPr>
      <w:r w:rsidRPr="003C7BDA">
        <w:t>Stavba je řešena dle Vyhlášky Ministerstva pro místní rozvoj ČR č.398/2009 Sb., o obecných technických požadavcích zabezpečujících bezbariérové užívání staveb.</w:t>
      </w:r>
    </w:p>
    <w:p w14:paraId="1E48A853" w14:textId="77777777" w:rsidR="00E24D80" w:rsidRDefault="000A3AC9">
      <w:pPr>
        <w:pStyle w:val="KMnadpis2"/>
        <w:numPr>
          <w:ilvl w:val="1"/>
          <w:numId w:val="2"/>
        </w:numPr>
      </w:pPr>
      <w:bookmarkStart w:id="37" w:name="_Toc137721355"/>
      <w:bookmarkStart w:id="38" w:name="_Toc137723568"/>
      <w:r>
        <w:t>Bezpečnost při užívání stavby</w:t>
      </w:r>
      <w:bookmarkEnd w:id="37"/>
      <w:bookmarkEnd w:id="38"/>
    </w:p>
    <w:p w14:paraId="1E48A854" w14:textId="70F38667" w:rsidR="00E24D80" w:rsidRDefault="000A3AC9" w:rsidP="003C7BDA">
      <w:pPr>
        <w:pStyle w:val="KMnormal"/>
        <w:jc w:val="both"/>
      </w:pPr>
      <w:r>
        <w:t xml:space="preserve">Stavba je navržena a </w:t>
      </w:r>
      <w:r w:rsidR="003C7BDA">
        <w:t xml:space="preserve">bude </w:t>
      </w:r>
      <w:r>
        <w:t>provedena tak, aby při jejím užívání a provozu nedocházelo k úrazu uklouznutím, pádem, nárazem, popálením, zásahem elektrickým proudem, výbuchem uvnitř nebo v blízkosti objektu. A jsou splněny požadavky vyplývající z Vyhlášky č. 268/2009 Sb., o</w:t>
      </w:r>
      <w:r w:rsidR="003C7BDA">
        <w:t> </w:t>
      </w:r>
      <w:r>
        <w:t>technických požadavcích i Zákona č.133/1985 Sb., o požární ochraně.</w:t>
      </w:r>
    </w:p>
    <w:p w14:paraId="1E48A855" w14:textId="77777777" w:rsidR="00E24D80" w:rsidRDefault="000A3AC9">
      <w:pPr>
        <w:pStyle w:val="KMnadpis2"/>
        <w:numPr>
          <w:ilvl w:val="1"/>
          <w:numId w:val="2"/>
        </w:numPr>
      </w:pPr>
      <w:bookmarkStart w:id="39" w:name="_Toc137721356"/>
      <w:bookmarkStart w:id="40" w:name="_Toc137723569"/>
      <w:r>
        <w:t>Základní charakteristika objektů</w:t>
      </w:r>
      <w:bookmarkEnd w:id="39"/>
      <w:bookmarkEnd w:id="40"/>
    </w:p>
    <w:p w14:paraId="1E48A856" w14:textId="77777777" w:rsidR="00E24D80" w:rsidRDefault="000A3AC9">
      <w:pPr>
        <w:pStyle w:val="KMnadpis3"/>
        <w:numPr>
          <w:ilvl w:val="0"/>
          <w:numId w:val="5"/>
        </w:numPr>
      </w:pPr>
      <w:bookmarkStart w:id="41" w:name="_Toc137721357"/>
      <w:r>
        <w:t>Stavební řešení:</w:t>
      </w:r>
      <w:bookmarkEnd w:id="41"/>
    </w:p>
    <w:p w14:paraId="212D8BAC" w14:textId="2D688B1B" w:rsidR="00394A83" w:rsidRDefault="00394A83" w:rsidP="00394A83">
      <w:pPr>
        <w:pStyle w:val="KMnormal"/>
        <w:ind w:left="2124"/>
        <w:jc w:val="both"/>
      </w:pPr>
      <w:r>
        <w:t xml:space="preserve">Dokumentace je zpracována k rekonstrukci výtahů – nahrazení stávajících výtahů dvěma novými výtahy s parametry evakuačních výtahů. Jedná se o </w:t>
      </w:r>
      <w:r w:rsidR="008154E6">
        <w:lastRenderedPageBreak/>
        <w:t>2</w:t>
      </w:r>
      <w:r>
        <w:t>. etap</w:t>
      </w:r>
      <w:r w:rsidR="0002083B">
        <w:t>y</w:t>
      </w:r>
      <w:r>
        <w:t xml:space="preserve"> rekonstrukce. Výtahy se stanou evakuačními po dokončení následujících etap – umístění náhradního zdroje pro výtahy a dispoziční úpravy dle požadavků PBŘ, které nejsou součástí tohoto projektu.</w:t>
      </w:r>
    </w:p>
    <w:p w14:paraId="35EF68D8" w14:textId="2E247176" w:rsidR="00394A83" w:rsidRDefault="00394A83" w:rsidP="00394A83">
      <w:pPr>
        <w:pStyle w:val="KMnormal"/>
        <w:ind w:left="2124"/>
        <w:jc w:val="both"/>
      </w:pPr>
      <w:r>
        <w:t xml:space="preserve">V rámci stavební přípravy pro osazení nových výtahů budou provedeny bourací práce ve stávajících šachtách. Pro zvětšení výtahových šachet budou bourány některé příčky a nosné stěny a části stropní konstrukce. Bourání konstrukcí musí být provedeno postupně s podepřením nosných konstrukcí. </w:t>
      </w:r>
      <w:r w:rsidR="00512C49">
        <w:t>Bourané konstrukce viz výkresová dokumentace.</w:t>
      </w:r>
    </w:p>
    <w:p w14:paraId="3C96052E" w14:textId="77777777" w:rsidR="00394A83" w:rsidRDefault="00394A83" w:rsidP="00394A83">
      <w:pPr>
        <w:pStyle w:val="KMnormal"/>
        <w:ind w:left="2124"/>
        <w:jc w:val="both"/>
      </w:pPr>
      <w:r>
        <w:t>Během bouracích prací budou odstraněny také dveře do úklidových místností včetně zárubní. Stávající nadedveřní překlady budou posouzeny a v případě, že budou nevyhovující, budou také odstraněny a nahrazeny překlady z ocelových válcovaných profilů.</w:t>
      </w:r>
    </w:p>
    <w:p w14:paraId="62517FF7" w14:textId="77777777" w:rsidR="00394A83" w:rsidRDefault="00394A83" w:rsidP="00394A83">
      <w:pPr>
        <w:pStyle w:val="KMnormal"/>
        <w:ind w:left="2124"/>
        <w:jc w:val="both"/>
      </w:pPr>
      <w:r>
        <w:t xml:space="preserve">Stávající betonová deska ve výtahových šachtách bude nadbetonována železobetonovou </w:t>
      </w:r>
      <w:proofErr w:type="spellStart"/>
      <w:r>
        <w:t>nadbetonávkou</w:t>
      </w:r>
      <w:proofErr w:type="spellEnd"/>
      <w:r>
        <w:t xml:space="preserve"> o </w:t>
      </w:r>
      <w:proofErr w:type="spellStart"/>
      <w:r>
        <w:t>tl</w:t>
      </w:r>
      <w:proofErr w:type="spellEnd"/>
      <w:r>
        <w:t xml:space="preserve">. 150 mm. Se stávající základovou deskou bude </w:t>
      </w:r>
      <w:proofErr w:type="spellStart"/>
      <w:r>
        <w:t>nadbetonávka</w:t>
      </w:r>
      <w:proofErr w:type="spellEnd"/>
      <w:r>
        <w:t xml:space="preserve"> spřažena pomocí trnů dle samostatné části PD D.1.2 – Stavebně konstrukční řešení.</w:t>
      </w:r>
    </w:p>
    <w:p w14:paraId="6BA700CB" w14:textId="77777777" w:rsidR="00394A83" w:rsidRDefault="00394A83" w:rsidP="00394A83">
      <w:pPr>
        <w:pStyle w:val="KMnormal"/>
        <w:ind w:left="2124"/>
        <w:jc w:val="both"/>
      </w:pPr>
      <w:r>
        <w:t>Všechny stávající otvory ve zdech a stropu řešených výtahových šachet budou zazděny, nebo budou provedeny požární ucpávky s minimální odolností 45 minut.</w:t>
      </w:r>
    </w:p>
    <w:p w14:paraId="00D65254" w14:textId="77777777" w:rsidR="00394A83" w:rsidRDefault="00394A83" w:rsidP="00394A83">
      <w:pPr>
        <w:pStyle w:val="KMnormal"/>
        <w:ind w:left="2124"/>
        <w:jc w:val="both"/>
      </w:pPr>
      <w:r>
        <w:t xml:space="preserve">Nová nosná zeď (její posun po demolici původní) bude provedena z keramických tvárnic </w:t>
      </w:r>
      <w:proofErr w:type="spellStart"/>
      <w:r>
        <w:t>tl</w:t>
      </w:r>
      <w:proofErr w:type="spellEnd"/>
      <w:r>
        <w:t xml:space="preserve">. 250 mm. Nová zeď bude </w:t>
      </w:r>
      <w:proofErr w:type="spellStart"/>
      <w:r>
        <w:t>prokotvena</w:t>
      </w:r>
      <w:proofErr w:type="spellEnd"/>
      <w:r>
        <w:t xml:space="preserve"> se stávajícími zdmi pomocí zazubení v kapsách. Zeď bude spřažena železobetonovými věnci, které budou výškově umístěny v úrovních plánovaného kotvení konstrukce výtahu V1. Železobetonové věnce budou provedeny do kapes ve stávajících stěnách. Podrobněji viz samostatná část PD – D.1.2 – Stavebně konstrukční řešení.</w:t>
      </w:r>
    </w:p>
    <w:p w14:paraId="39210741" w14:textId="77777777" w:rsidR="00394A83" w:rsidRDefault="00394A83" w:rsidP="00394A83">
      <w:pPr>
        <w:pStyle w:val="KMnormal"/>
        <w:ind w:left="2124"/>
        <w:jc w:val="both"/>
      </w:pPr>
      <w:r>
        <w:t>Nové dveře do zmenšené úklidové místnosti budou rozměru 600x1970 mm. V úklidové místnosti bude provedena keramická dlažba a keramický obklad do výšky 1600 mm.</w:t>
      </w:r>
    </w:p>
    <w:p w14:paraId="43201EEF" w14:textId="77777777" w:rsidR="00394A83" w:rsidRDefault="00394A83" w:rsidP="00394A83">
      <w:pPr>
        <w:pStyle w:val="KMnormal"/>
        <w:ind w:left="2124"/>
        <w:jc w:val="both"/>
      </w:pPr>
      <w:r>
        <w:t xml:space="preserve">Otvory pro dveře výtahů budou rozšířeny a umístěny dle podkladů. Rozměry dveří výtahů budou 900x2000 mm u výtahu V1 a 1100x2000 mm u výtahu V2. </w:t>
      </w:r>
    </w:p>
    <w:p w14:paraId="424F7F5B" w14:textId="77777777" w:rsidR="00394A83" w:rsidRDefault="00394A83" w:rsidP="00394A83">
      <w:pPr>
        <w:pStyle w:val="KMnormal"/>
        <w:ind w:left="2124"/>
        <w:jc w:val="both"/>
      </w:pPr>
      <w:r>
        <w:t>V horní úrovni výtahových šachet jsou navrženy ocelové válcované nosníky pro kotvení výtahů. Ve 4.NP je z důvodu statiky navržen ocelový sloup z válcovaného profilu mezi dveřmi do výtahových šachet. Tento ocelový sloup bude provázán s překlady z ocelových nosníků a obezděn keramickým zdivem.</w:t>
      </w:r>
    </w:p>
    <w:p w14:paraId="7ED5994D" w14:textId="77777777" w:rsidR="00394A83" w:rsidRDefault="00394A83" w:rsidP="00394A83">
      <w:pPr>
        <w:pStyle w:val="KMnormal"/>
        <w:ind w:left="2124"/>
        <w:jc w:val="both"/>
      </w:pPr>
      <w:r>
        <w:t xml:space="preserve">Jsou navrženy nové 2 výtahy s rozměry klece 1100/1400 mm a 1200/2600 mm. Jedná se o výtahy osobní s nosností 630 kg (8 osob) a 1500 kg (20 osob). Součástí výtahů bude hlásič pater, ventilátor, gong, komunikátor s vyprošťovací službou, nouzové osvětlení kabiny, sklopné invalidní sedátko, polohová a směrová signalizace, tlačítka se světelným a zvukovým potvrzením volby. </w:t>
      </w:r>
    </w:p>
    <w:p w14:paraId="6367179B" w14:textId="77777777" w:rsidR="00394A83" w:rsidRDefault="00394A83" w:rsidP="00394A83">
      <w:pPr>
        <w:pStyle w:val="KMnormal"/>
        <w:ind w:left="2124"/>
        <w:jc w:val="both"/>
      </w:pPr>
      <w:r>
        <w:lastRenderedPageBreak/>
        <w:t>Řízení výtahů bude sběrné směrem dolů (požadavky na nástupišti jsou zaznamenány stlačením ovladače, volný výtah nebo jedoucí směrem dolů vyřizuje od nejvyššího podlaží postupně zaznamenané požadavky na nástupišti).</w:t>
      </w:r>
    </w:p>
    <w:p w14:paraId="39A97B63" w14:textId="0501803C" w:rsidR="00394A83" w:rsidRPr="005E5366" w:rsidRDefault="00394A83" w:rsidP="00394A83">
      <w:pPr>
        <w:pStyle w:val="KMnormal"/>
        <w:jc w:val="both"/>
        <w:rPr>
          <w:highlight w:val="red"/>
        </w:rPr>
      </w:pPr>
      <w:r>
        <w:t>Ve 4.NP budou umístěny výtahové rozvaděče v nice vedle vstupních dveří do výtahu.</w:t>
      </w:r>
    </w:p>
    <w:p w14:paraId="1E48A858" w14:textId="77777777" w:rsidR="00E24D80" w:rsidRPr="00512C49" w:rsidRDefault="000A3AC9">
      <w:pPr>
        <w:pStyle w:val="KMnadpis3"/>
        <w:numPr>
          <w:ilvl w:val="0"/>
          <w:numId w:val="5"/>
        </w:numPr>
      </w:pPr>
      <w:bookmarkStart w:id="42" w:name="_Toc137721358"/>
      <w:r w:rsidRPr="00512C49">
        <w:t>Konstrukční a materiálové řešení:</w:t>
      </w:r>
      <w:bookmarkEnd w:id="42"/>
    </w:p>
    <w:p w14:paraId="0F139806" w14:textId="77777777" w:rsidR="00512C49" w:rsidRDefault="00512C49" w:rsidP="00512C49">
      <w:pPr>
        <w:pStyle w:val="KMnormal"/>
        <w:jc w:val="both"/>
        <w:rPr>
          <w:u w:val="single"/>
        </w:rPr>
      </w:pPr>
      <w:r w:rsidRPr="004A17DE">
        <w:rPr>
          <w:u w:val="single"/>
        </w:rPr>
        <w:t>Základy</w:t>
      </w:r>
    </w:p>
    <w:p w14:paraId="7DBBE38F" w14:textId="77777777" w:rsidR="00512C49" w:rsidRPr="000C0050" w:rsidRDefault="00512C49" w:rsidP="00512C49">
      <w:pPr>
        <w:pStyle w:val="KMnormal"/>
        <w:ind w:left="2124"/>
        <w:jc w:val="both"/>
      </w:pPr>
      <w:r>
        <w:t xml:space="preserve">Základy pod výtahovými šachtami zůstávají stávající. Stávající betonová deska ve výtahových šachtách bude nadbetonována železobetonovou </w:t>
      </w:r>
      <w:proofErr w:type="spellStart"/>
      <w:r>
        <w:t>nadbetonávkou</w:t>
      </w:r>
      <w:proofErr w:type="spellEnd"/>
      <w:r>
        <w:t xml:space="preserve"> o </w:t>
      </w:r>
      <w:proofErr w:type="spellStart"/>
      <w:r>
        <w:t>tl</w:t>
      </w:r>
      <w:proofErr w:type="spellEnd"/>
      <w:r>
        <w:t xml:space="preserve">. 150 mm. Se stávající základovou deskou bude </w:t>
      </w:r>
      <w:proofErr w:type="spellStart"/>
      <w:r>
        <w:t>nadbetonávka</w:t>
      </w:r>
      <w:proofErr w:type="spellEnd"/>
      <w:r>
        <w:t xml:space="preserve"> spřažena pomocí trnů dle samostatné části PD D.1.2 – Stavebně konstrukční řešení.</w:t>
      </w:r>
    </w:p>
    <w:p w14:paraId="2C15ECCC" w14:textId="77777777" w:rsidR="00512C49" w:rsidRPr="00793A87" w:rsidRDefault="00512C49" w:rsidP="00512C49">
      <w:pPr>
        <w:pStyle w:val="KMnormal"/>
        <w:jc w:val="both"/>
        <w:rPr>
          <w:u w:val="single"/>
        </w:rPr>
      </w:pPr>
      <w:r>
        <w:rPr>
          <w:u w:val="single"/>
        </w:rPr>
        <w:t>Svislé konstrukce</w:t>
      </w:r>
    </w:p>
    <w:p w14:paraId="602A0DB9" w14:textId="77777777" w:rsidR="00512C49" w:rsidRDefault="00512C49" w:rsidP="00512C49">
      <w:pPr>
        <w:pStyle w:val="KMnormal"/>
        <w:ind w:left="2124"/>
        <w:jc w:val="both"/>
      </w:pPr>
      <w:r>
        <w:t>Všechny stávající otvory a rušené dveřní otvory ve zdech řešených výtahových šachet budou zazděny keramickým zdivem příslušné tloušťky, nebo budou provedeny požární ucpávky s minimální odolností 45 minut.</w:t>
      </w:r>
    </w:p>
    <w:p w14:paraId="485D5437" w14:textId="77777777" w:rsidR="00512C49" w:rsidRDefault="00512C49" w:rsidP="00512C49">
      <w:pPr>
        <w:pStyle w:val="KMnormal"/>
        <w:ind w:left="2124"/>
        <w:jc w:val="both"/>
      </w:pPr>
      <w:r>
        <w:t xml:space="preserve">Nová nosná zeď (její posun po demolici původní) bude provedena z keramických tvárnic </w:t>
      </w:r>
      <w:proofErr w:type="spellStart"/>
      <w:r>
        <w:t>tl</w:t>
      </w:r>
      <w:proofErr w:type="spellEnd"/>
      <w:r>
        <w:t xml:space="preserve">. 250 mm. Nová zeď bude </w:t>
      </w:r>
      <w:proofErr w:type="spellStart"/>
      <w:r>
        <w:t>prokotvena</w:t>
      </w:r>
      <w:proofErr w:type="spellEnd"/>
      <w:r>
        <w:t xml:space="preserve"> se stávajícími zdmi pomocí zazubení v kapsách. Zeď bude spřažena železobetonovými věnci, které budou výškově umístěny v úrovních plánovaného kotvení konstrukce výtahu V1. Železobetonové věnce budou provedeny do kapes ve stávajících stěnách. Podrobněji viz samostatná část PD – D.1.2 – Stavebně konstrukční řešení.</w:t>
      </w:r>
    </w:p>
    <w:p w14:paraId="3F748BEF" w14:textId="77777777" w:rsidR="00512C49" w:rsidRDefault="00512C49" w:rsidP="00512C49">
      <w:pPr>
        <w:pStyle w:val="KMnormal"/>
        <w:ind w:left="2124"/>
        <w:jc w:val="both"/>
      </w:pPr>
      <w:r>
        <w:t>Během bouracích prací budou odstraněny také dveře do úklidových místností včetně zárubní. Stávající nadedveřní překlady (do úklidových místností a výtahových šachet) budou posouzeny a v případě, že budou nevyhovující, budou také odstraněny a nahrazeny překlady z ocelových válcovaných profilů.</w:t>
      </w:r>
    </w:p>
    <w:p w14:paraId="75293460" w14:textId="77777777" w:rsidR="00512C49" w:rsidRDefault="00512C49" w:rsidP="00512C49">
      <w:pPr>
        <w:pStyle w:val="KMnormal"/>
        <w:ind w:left="2124"/>
        <w:jc w:val="both"/>
      </w:pPr>
      <w:r>
        <w:t xml:space="preserve">Ve 4.NP je navržen ocelový sloup z válcovaného profilu ve stěně mezi dveřmi do výtahových šachet. Tento sloup bude provázán s nadedveřními ocelovými překlady a obezděn. </w:t>
      </w:r>
    </w:p>
    <w:p w14:paraId="48CB3DF0" w14:textId="77777777" w:rsidR="00512C49" w:rsidRPr="00DF278C" w:rsidRDefault="00512C49" w:rsidP="00512C49">
      <w:pPr>
        <w:pStyle w:val="KMnormal"/>
        <w:jc w:val="both"/>
        <w:rPr>
          <w:u w:val="single"/>
        </w:rPr>
      </w:pPr>
      <w:r w:rsidRPr="00DF278C">
        <w:rPr>
          <w:u w:val="single"/>
        </w:rPr>
        <w:t>Vodorovné konstrukce</w:t>
      </w:r>
    </w:p>
    <w:p w14:paraId="3813EBCA" w14:textId="77777777" w:rsidR="00512C49" w:rsidRDefault="00512C49" w:rsidP="00512C49">
      <w:pPr>
        <w:pStyle w:val="KMnormal"/>
        <w:ind w:left="2124"/>
        <w:jc w:val="both"/>
      </w:pPr>
      <w:r>
        <w:t>Všechny stávající otvory ve stropech řešených výtahových šachet budou zazděny keramickým zdivem příslušné tloušťky, nebo budou provedeny požární ucpávky s minimální odolností 45 minut.</w:t>
      </w:r>
    </w:p>
    <w:p w14:paraId="6F4988C9" w14:textId="77777777" w:rsidR="00512C49" w:rsidRDefault="00512C49" w:rsidP="00512C49">
      <w:pPr>
        <w:pStyle w:val="KMnormal"/>
        <w:ind w:left="2124"/>
        <w:jc w:val="both"/>
      </w:pPr>
      <w:r>
        <w:t>Pod úrovní stropu jsou navrženy ve výtahových šachtách nosníky z ocelových válcovaných profilů. Viz samostatná část PD D.1.2 – Stavebně konstrukční řešení.</w:t>
      </w:r>
    </w:p>
    <w:p w14:paraId="73117024" w14:textId="77777777" w:rsidR="00512C49" w:rsidRDefault="00512C49" w:rsidP="00512C49">
      <w:pPr>
        <w:pStyle w:val="KMnormal"/>
        <w:jc w:val="both"/>
        <w:rPr>
          <w:u w:val="single"/>
        </w:rPr>
      </w:pPr>
      <w:r>
        <w:rPr>
          <w:u w:val="single"/>
        </w:rPr>
        <w:t>Úpravy povrchů</w:t>
      </w:r>
    </w:p>
    <w:p w14:paraId="7F080F48" w14:textId="77777777" w:rsidR="00512C49" w:rsidRDefault="00512C49" w:rsidP="00512C49">
      <w:pPr>
        <w:pStyle w:val="KMnormal"/>
        <w:jc w:val="both"/>
      </w:pPr>
      <w:r>
        <w:t>Omítky výtahových šachet a v úklidových místnostech budou opraveny a vybíleny.</w:t>
      </w:r>
    </w:p>
    <w:p w14:paraId="733F473F" w14:textId="77777777" w:rsidR="00512C49" w:rsidRDefault="00512C49" w:rsidP="00512C49">
      <w:pPr>
        <w:pStyle w:val="KMnormal"/>
        <w:jc w:val="both"/>
      </w:pPr>
      <w:r>
        <w:lastRenderedPageBreak/>
        <w:t>Podlaha výtahových šachet bude natřena oleji vzdorným nátěrem do výšky 100 mm.</w:t>
      </w:r>
    </w:p>
    <w:p w14:paraId="5D9D3319" w14:textId="77777777" w:rsidR="00512C49" w:rsidRDefault="00512C49" w:rsidP="00512C49">
      <w:pPr>
        <w:pStyle w:val="KMnormal"/>
        <w:jc w:val="both"/>
      </w:pPr>
      <w:r>
        <w:t>V technických místnostech bude provedena nová keramická dlažba a keramický obklad do výšky 1600 mm.</w:t>
      </w:r>
    </w:p>
    <w:p w14:paraId="72BE1F9E" w14:textId="77777777" w:rsidR="00512C49" w:rsidRPr="008D7374" w:rsidRDefault="00512C49" w:rsidP="00512C49">
      <w:pPr>
        <w:pStyle w:val="KMnormal"/>
        <w:jc w:val="both"/>
        <w:rPr>
          <w:u w:val="single"/>
        </w:rPr>
      </w:pPr>
      <w:r w:rsidRPr="008D7374">
        <w:rPr>
          <w:u w:val="single"/>
        </w:rPr>
        <w:t>Nátěr</w:t>
      </w:r>
      <w:r>
        <w:rPr>
          <w:u w:val="single"/>
        </w:rPr>
        <w:t>y</w:t>
      </w:r>
      <w:r w:rsidRPr="008D7374">
        <w:rPr>
          <w:u w:val="single"/>
        </w:rPr>
        <w:t xml:space="preserve"> a malby</w:t>
      </w:r>
    </w:p>
    <w:p w14:paraId="79E8470E" w14:textId="267996A4" w:rsidR="00177C0B" w:rsidRDefault="00512C49" w:rsidP="003C7BDA">
      <w:pPr>
        <w:pStyle w:val="KMnormal"/>
        <w:jc w:val="both"/>
      </w:pPr>
      <w:r>
        <w:t>Interiérové malby budou provedeny klasickým malířským nátěrem.</w:t>
      </w:r>
    </w:p>
    <w:p w14:paraId="1E48A85A" w14:textId="51FEE1C8" w:rsidR="00E24D80" w:rsidRDefault="000A3AC9">
      <w:pPr>
        <w:pStyle w:val="KMnadpis3"/>
        <w:numPr>
          <w:ilvl w:val="0"/>
          <w:numId w:val="5"/>
        </w:numPr>
      </w:pPr>
      <w:bookmarkStart w:id="43" w:name="_Toc137721359"/>
      <w:r>
        <w:t>Mechanická odolnost a stabilita:</w:t>
      </w:r>
      <w:bookmarkEnd w:id="43"/>
    </w:p>
    <w:p w14:paraId="1E48A85B" w14:textId="1B38B918" w:rsidR="00E24D80" w:rsidRDefault="00145A5C" w:rsidP="005E5366">
      <w:pPr>
        <w:pStyle w:val="KMnormal"/>
        <w:jc w:val="both"/>
      </w:pPr>
      <w:r>
        <w:t>P</w:t>
      </w:r>
      <w:r w:rsidRPr="00145A5C">
        <w:t>o výběru dodavatele a specifikaci nové technologie výtahu musí být statikem posouzeny konstrukce</w:t>
      </w:r>
      <w:r w:rsidR="00512C49">
        <w:t>.</w:t>
      </w:r>
    </w:p>
    <w:p w14:paraId="1E48A85C" w14:textId="77777777" w:rsidR="00E24D80" w:rsidRDefault="000A3AC9">
      <w:pPr>
        <w:pStyle w:val="KMnadpis2"/>
        <w:numPr>
          <w:ilvl w:val="1"/>
          <w:numId w:val="2"/>
        </w:numPr>
      </w:pPr>
      <w:bookmarkStart w:id="44" w:name="_Toc137721360"/>
      <w:bookmarkStart w:id="45" w:name="_Toc137723570"/>
      <w:r>
        <w:t>Základní charakteristika technických a technologických zařízení:</w:t>
      </w:r>
      <w:bookmarkEnd w:id="44"/>
      <w:bookmarkEnd w:id="45"/>
      <w:r>
        <w:t xml:space="preserve"> </w:t>
      </w:r>
    </w:p>
    <w:p w14:paraId="1E48A85D" w14:textId="77777777" w:rsidR="00E24D80" w:rsidRDefault="000A3AC9">
      <w:pPr>
        <w:pStyle w:val="KMnadpis3"/>
        <w:numPr>
          <w:ilvl w:val="0"/>
          <w:numId w:val="6"/>
        </w:numPr>
      </w:pPr>
      <w:bookmarkStart w:id="46" w:name="_Toc137721361"/>
      <w:r>
        <w:t>Technické řešení:</w:t>
      </w:r>
      <w:bookmarkEnd w:id="46"/>
    </w:p>
    <w:p w14:paraId="1E48A85E" w14:textId="77777777" w:rsidR="00E24D80" w:rsidRDefault="000A3AC9">
      <w:pPr>
        <w:pStyle w:val="KMnormal"/>
      </w:pPr>
      <w:r>
        <w:t xml:space="preserve">Přípojky budou využity stávající. </w:t>
      </w:r>
    </w:p>
    <w:p w14:paraId="1E48A85F" w14:textId="77777777" w:rsidR="00E24D80" w:rsidRDefault="000A3AC9">
      <w:pPr>
        <w:pStyle w:val="KMnadpis3"/>
        <w:numPr>
          <w:ilvl w:val="0"/>
          <w:numId w:val="6"/>
        </w:numPr>
      </w:pPr>
      <w:bookmarkStart w:id="47" w:name="_Toc137721362"/>
      <w:r>
        <w:t>Výčet technických a technologických zařízení:</w:t>
      </w:r>
      <w:bookmarkEnd w:id="47"/>
    </w:p>
    <w:p w14:paraId="1E48A860" w14:textId="07EC91D6" w:rsidR="00E24D80" w:rsidRDefault="000A3AC9">
      <w:pPr>
        <w:pStyle w:val="KMnormal"/>
      </w:pPr>
      <w:r>
        <w:t>Jednotlivá te</w:t>
      </w:r>
      <w:r w:rsidR="007C5302">
        <w:t>chnologická</w:t>
      </w:r>
      <w:r>
        <w:t xml:space="preserve"> zařízení jsou zakreslena a blíže popsána v dílčích částech projektové dokumentace</w:t>
      </w:r>
      <w:r w:rsidR="00F71B42">
        <w:t>.</w:t>
      </w:r>
    </w:p>
    <w:p w14:paraId="1E48A861" w14:textId="77777777" w:rsidR="00E24D80" w:rsidRDefault="000A3AC9">
      <w:pPr>
        <w:pStyle w:val="KMnadpis2"/>
        <w:numPr>
          <w:ilvl w:val="1"/>
          <w:numId w:val="2"/>
        </w:numPr>
      </w:pPr>
      <w:bookmarkStart w:id="48" w:name="_Toc137721363"/>
      <w:bookmarkStart w:id="49" w:name="_Toc137723571"/>
      <w:r>
        <w:t>Zásady požárně bezpečnostního řešení</w:t>
      </w:r>
      <w:bookmarkEnd w:id="48"/>
      <w:bookmarkEnd w:id="49"/>
    </w:p>
    <w:p w14:paraId="1E48A862" w14:textId="21905B5A" w:rsidR="00E24D80" w:rsidRDefault="005E5366">
      <w:pPr>
        <w:pStyle w:val="KMnormal"/>
      </w:pPr>
      <w:r>
        <w:t>Viz samostatná část projektové dokumentace D.1.3 – Požárně bezpečnostní řešení.</w:t>
      </w:r>
    </w:p>
    <w:p w14:paraId="1E48A863" w14:textId="77777777" w:rsidR="00E24D80" w:rsidRDefault="000A3AC9">
      <w:pPr>
        <w:pStyle w:val="KMnadpis2"/>
        <w:numPr>
          <w:ilvl w:val="1"/>
          <w:numId w:val="2"/>
        </w:numPr>
      </w:pPr>
      <w:bookmarkStart w:id="50" w:name="_Toc137721364"/>
      <w:bookmarkStart w:id="51" w:name="_Toc137723572"/>
      <w:r>
        <w:t>Úspora energie a tepelná ochrana</w:t>
      </w:r>
      <w:bookmarkEnd w:id="50"/>
      <w:bookmarkEnd w:id="51"/>
    </w:p>
    <w:p w14:paraId="1E48A864" w14:textId="076776E6" w:rsidR="00E24D80" w:rsidRDefault="00152E08">
      <w:pPr>
        <w:pStyle w:val="KMnormal"/>
      </w:pPr>
      <w:r>
        <w:t>Není součástí řešení projektu</w:t>
      </w:r>
      <w:r w:rsidR="000A3AC9">
        <w:t xml:space="preserve">. </w:t>
      </w:r>
    </w:p>
    <w:p w14:paraId="1E48A865" w14:textId="77777777" w:rsidR="00E24D80" w:rsidRDefault="000A3AC9">
      <w:pPr>
        <w:pStyle w:val="KMnadpis2"/>
        <w:numPr>
          <w:ilvl w:val="1"/>
          <w:numId w:val="2"/>
        </w:numPr>
      </w:pPr>
      <w:bookmarkStart w:id="52" w:name="_Toc137721365"/>
      <w:bookmarkStart w:id="53" w:name="_Toc137723573"/>
      <w:r>
        <w:t>Hygienické požadavky na stavby, požadavky na pracovní a komunální prostředí; zásady řešení parametrů stavby – větrání, vytápění, osvětlení, zásobování vodou, odpadů apod., dále zásady řešení vlivu stavby na okolí – vibrace, hluk, prašnost apod.</w:t>
      </w:r>
      <w:bookmarkEnd w:id="52"/>
      <w:bookmarkEnd w:id="53"/>
    </w:p>
    <w:p w14:paraId="1E48A866" w14:textId="175549B1" w:rsidR="00E24D80" w:rsidRDefault="00BF524C" w:rsidP="005E5366">
      <w:pPr>
        <w:pStyle w:val="KMnormal"/>
        <w:jc w:val="both"/>
      </w:pPr>
      <w:r>
        <w:t xml:space="preserve">Při rekonstrukci výtahových šachet bude zajištěno </w:t>
      </w:r>
      <w:r w:rsidR="00AD744F">
        <w:t>od</w:t>
      </w:r>
      <w:r>
        <w:t xml:space="preserve">větrání </w:t>
      </w:r>
      <w:r w:rsidR="00AD744F">
        <w:t xml:space="preserve">výtahových šachet. </w:t>
      </w:r>
      <w:r w:rsidR="008D2759">
        <w:t>Rekonstrukce výtahů</w:t>
      </w:r>
      <w:r w:rsidR="0075234D">
        <w:t xml:space="preserve"> </w:t>
      </w:r>
      <w:r w:rsidR="00CB0074" w:rsidRPr="0075234D">
        <w:t>nebude mít negativní vliv na zdraví a zdravé životní podmínky jejích uživatelů ani uživatelů okolních staveb a nebude ohrožovat životní prostředí, a to dle § 8 a 10 vyhlášky č. 268/2009 Sb., o</w:t>
      </w:r>
      <w:r w:rsidR="005E5366">
        <w:t> </w:t>
      </w:r>
      <w:r w:rsidR="00CB0074" w:rsidRPr="0075234D">
        <w:t>technických požadavcích na stavby. Stavba bude realizována z</w:t>
      </w:r>
      <w:r w:rsidR="005E5366">
        <w:t> </w:t>
      </w:r>
      <w:r w:rsidR="00CB0074" w:rsidRPr="0075234D">
        <w:t>netoxických materiálů.</w:t>
      </w:r>
    </w:p>
    <w:p w14:paraId="1E48A86B" w14:textId="77777777" w:rsidR="00E24D80" w:rsidRDefault="000A3AC9">
      <w:pPr>
        <w:pStyle w:val="KMnadpis2"/>
        <w:numPr>
          <w:ilvl w:val="1"/>
          <w:numId w:val="2"/>
        </w:numPr>
      </w:pPr>
      <w:bookmarkStart w:id="54" w:name="_Toc137721366"/>
      <w:bookmarkStart w:id="55" w:name="_Toc137723574"/>
      <w:r>
        <w:t>Zásady ochrany stavby před negativními účinky vnějšího prostředí</w:t>
      </w:r>
      <w:bookmarkEnd w:id="54"/>
      <w:bookmarkEnd w:id="55"/>
    </w:p>
    <w:p w14:paraId="1E48A86C" w14:textId="77777777" w:rsidR="00E24D80" w:rsidRDefault="000A3AC9">
      <w:pPr>
        <w:pStyle w:val="KMnadpis3"/>
        <w:numPr>
          <w:ilvl w:val="0"/>
          <w:numId w:val="7"/>
        </w:numPr>
      </w:pPr>
      <w:bookmarkStart w:id="56" w:name="_Toc137721367"/>
      <w:r>
        <w:t>Ochrana před pronikáním radonu z podloží</w:t>
      </w:r>
      <w:bookmarkEnd w:id="56"/>
    </w:p>
    <w:p w14:paraId="1E48A86D" w14:textId="09DB957E" w:rsidR="00E24D80" w:rsidRDefault="00E73D6C" w:rsidP="00E73D6C">
      <w:pPr>
        <w:pStyle w:val="KMnormal"/>
      </w:pPr>
      <w:r>
        <w:t>Není součástí řešení projektu.</w:t>
      </w:r>
    </w:p>
    <w:p w14:paraId="1E48A86E" w14:textId="77777777" w:rsidR="00E24D80" w:rsidRDefault="000A3AC9">
      <w:pPr>
        <w:pStyle w:val="KMnadpis3"/>
        <w:numPr>
          <w:ilvl w:val="0"/>
          <w:numId w:val="7"/>
        </w:numPr>
      </w:pPr>
      <w:bookmarkStart w:id="57" w:name="_Toc137721368"/>
      <w:r>
        <w:lastRenderedPageBreak/>
        <w:t>Ochrana před bludnými proudy</w:t>
      </w:r>
      <w:bookmarkEnd w:id="57"/>
    </w:p>
    <w:p w14:paraId="1E48A86F" w14:textId="4EB792C0" w:rsidR="00E24D80" w:rsidRDefault="001B2E31" w:rsidP="001B2E31">
      <w:pPr>
        <w:pStyle w:val="KMnormal"/>
      </w:pPr>
      <w:r>
        <w:t>Není součástí řešení projektu.</w:t>
      </w:r>
    </w:p>
    <w:p w14:paraId="1E48A870" w14:textId="77777777" w:rsidR="00E24D80" w:rsidRDefault="000A3AC9">
      <w:pPr>
        <w:pStyle w:val="KMnadpis3"/>
        <w:numPr>
          <w:ilvl w:val="0"/>
          <w:numId w:val="7"/>
        </w:numPr>
      </w:pPr>
      <w:bookmarkStart w:id="58" w:name="_Toc137721369"/>
      <w:r>
        <w:t>Ochrana před technickou seizmicitou</w:t>
      </w:r>
      <w:bookmarkEnd w:id="58"/>
    </w:p>
    <w:p w14:paraId="1E48A871" w14:textId="77AF1110" w:rsidR="00E24D80" w:rsidRDefault="001B2E31" w:rsidP="001B2E31">
      <w:pPr>
        <w:pStyle w:val="KMnormal"/>
      </w:pPr>
      <w:r>
        <w:t>Není součástí řešení projektu.</w:t>
      </w:r>
      <w:r w:rsidR="000A3AC9">
        <w:t xml:space="preserve"> </w:t>
      </w:r>
    </w:p>
    <w:p w14:paraId="1E48A872" w14:textId="77777777" w:rsidR="00E24D80" w:rsidRDefault="000A3AC9">
      <w:pPr>
        <w:pStyle w:val="KMnadpis3"/>
        <w:numPr>
          <w:ilvl w:val="0"/>
          <w:numId w:val="7"/>
        </w:numPr>
      </w:pPr>
      <w:bookmarkStart w:id="59" w:name="_Toc137721370"/>
      <w:r>
        <w:t>Ochrana před hlukem</w:t>
      </w:r>
      <w:bookmarkEnd w:id="59"/>
    </w:p>
    <w:p w14:paraId="1E48A873" w14:textId="12419C4C" w:rsidR="00E24D80" w:rsidRDefault="00E73D6C">
      <w:pPr>
        <w:pStyle w:val="KMnormal"/>
      </w:pPr>
      <w:r>
        <w:t>Není součástí řešení projektu.</w:t>
      </w:r>
    </w:p>
    <w:p w14:paraId="1E48A874" w14:textId="77777777" w:rsidR="00E24D80" w:rsidRDefault="000A3AC9">
      <w:pPr>
        <w:pStyle w:val="KMnadpis3"/>
        <w:numPr>
          <w:ilvl w:val="0"/>
          <w:numId w:val="7"/>
        </w:numPr>
      </w:pPr>
      <w:bookmarkStart w:id="60" w:name="_Toc137721371"/>
      <w:r>
        <w:t>Protipovodňová opatření</w:t>
      </w:r>
      <w:bookmarkEnd w:id="60"/>
    </w:p>
    <w:p w14:paraId="1E48A875" w14:textId="791D5E35" w:rsidR="00E24D80" w:rsidRDefault="001B2E31" w:rsidP="001B2E31">
      <w:pPr>
        <w:pStyle w:val="KMnormal"/>
        <w:ind w:left="1416" w:firstLine="708"/>
      </w:pPr>
      <w:r>
        <w:t>Není součástí řešení projektu.</w:t>
      </w:r>
      <w:r w:rsidR="000A3AC9">
        <w:t xml:space="preserve"> </w:t>
      </w:r>
    </w:p>
    <w:p w14:paraId="1E48A876" w14:textId="77777777" w:rsidR="00E24D80" w:rsidRDefault="000A3AC9">
      <w:pPr>
        <w:pStyle w:val="KMnadpis3"/>
        <w:numPr>
          <w:ilvl w:val="0"/>
          <w:numId w:val="7"/>
        </w:numPr>
      </w:pPr>
      <w:bookmarkStart w:id="61" w:name="_Toc137721372"/>
      <w:r>
        <w:t>Ostatní účinky – vliv poddolování, výskyt metanu apod.</w:t>
      </w:r>
      <w:bookmarkEnd w:id="61"/>
    </w:p>
    <w:p w14:paraId="1E48A877" w14:textId="74C76882" w:rsidR="00E24D80" w:rsidRDefault="00307C99" w:rsidP="00307C99">
      <w:pPr>
        <w:pStyle w:val="KMnormal"/>
      </w:pPr>
      <w:r>
        <w:t>Není součástí řešení projektu.</w:t>
      </w:r>
      <w:r w:rsidR="000A3AC9">
        <w:t xml:space="preserve"> </w:t>
      </w:r>
    </w:p>
    <w:p w14:paraId="1E48A878" w14:textId="77777777" w:rsidR="00E24D80" w:rsidRDefault="000A3AC9">
      <w:pPr>
        <w:pStyle w:val="KMnadpis1"/>
        <w:numPr>
          <w:ilvl w:val="0"/>
          <w:numId w:val="2"/>
        </w:numPr>
      </w:pPr>
      <w:bookmarkStart w:id="62" w:name="_Toc137721373"/>
      <w:bookmarkStart w:id="63" w:name="_Toc137723575"/>
      <w:r>
        <w:t>Připojení na technickou infrastrukturu</w:t>
      </w:r>
      <w:bookmarkEnd w:id="62"/>
      <w:bookmarkEnd w:id="63"/>
    </w:p>
    <w:p w14:paraId="1E48A879" w14:textId="77777777" w:rsidR="00E24D80" w:rsidRDefault="000A3AC9">
      <w:pPr>
        <w:pStyle w:val="KMnadpis3"/>
        <w:numPr>
          <w:ilvl w:val="0"/>
          <w:numId w:val="8"/>
        </w:numPr>
      </w:pPr>
      <w:bookmarkStart w:id="64" w:name="_Toc137721374"/>
      <w:r>
        <w:t>Napojovací místa technické infrastruktury:</w:t>
      </w:r>
      <w:bookmarkEnd w:id="64"/>
    </w:p>
    <w:p w14:paraId="1E48A87A" w14:textId="77777777" w:rsidR="00E24D80" w:rsidRDefault="000A3AC9" w:rsidP="005E5366">
      <w:pPr>
        <w:pStyle w:val="KMnormal"/>
        <w:jc w:val="both"/>
      </w:pPr>
      <w:r>
        <w:t xml:space="preserve">Napojení na technickou infrastrukturu je řešeno pomocí stávajících přípojek. </w:t>
      </w:r>
    </w:p>
    <w:p w14:paraId="1E48A87B" w14:textId="77777777" w:rsidR="00E24D80" w:rsidRDefault="000A3AC9">
      <w:pPr>
        <w:pStyle w:val="KMnadpis3"/>
        <w:numPr>
          <w:ilvl w:val="0"/>
          <w:numId w:val="8"/>
        </w:numPr>
      </w:pPr>
      <w:bookmarkStart w:id="65" w:name="_Toc137721375"/>
      <w:r>
        <w:t>Připojovací rozměry, výkopové kapacity a délky:</w:t>
      </w:r>
      <w:bookmarkEnd w:id="65"/>
    </w:p>
    <w:p w14:paraId="1E48A87C" w14:textId="6A217E6B" w:rsidR="00E24D80" w:rsidRDefault="00307C99">
      <w:pPr>
        <w:pStyle w:val="KMnormal"/>
      </w:pPr>
      <w:r>
        <w:t>Není součástí řešení projektu.</w:t>
      </w:r>
    </w:p>
    <w:p w14:paraId="1E48A87D" w14:textId="77777777" w:rsidR="00E24D80" w:rsidRDefault="000A3AC9">
      <w:pPr>
        <w:pStyle w:val="KMnadpis1"/>
        <w:numPr>
          <w:ilvl w:val="0"/>
          <w:numId w:val="2"/>
        </w:numPr>
      </w:pPr>
      <w:bookmarkStart w:id="66" w:name="_Toc137721376"/>
      <w:bookmarkStart w:id="67" w:name="_Toc137723576"/>
      <w:r>
        <w:t>Dopravní řešení</w:t>
      </w:r>
      <w:bookmarkEnd w:id="66"/>
      <w:bookmarkEnd w:id="67"/>
    </w:p>
    <w:p w14:paraId="1E48A87E" w14:textId="77777777" w:rsidR="00E24D80" w:rsidRDefault="000A3AC9">
      <w:pPr>
        <w:pStyle w:val="KMnadpis3"/>
        <w:numPr>
          <w:ilvl w:val="0"/>
          <w:numId w:val="9"/>
        </w:numPr>
      </w:pPr>
      <w:bookmarkStart w:id="68" w:name="_Toc137721377"/>
      <w:r>
        <w:t>Popis dopravního řešení včetně bezbariérových opatření pro přístupnost a užívání stavby osobami se sníženou schopností pohybu nebo orientace:</w:t>
      </w:r>
      <w:bookmarkEnd w:id="68"/>
    </w:p>
    <w:p w14:paraId="1E48A87F" w14:textId="25F29D6A" w:rsidR="00E24D80" w:rsidRDefault="004B1439" w:rsidP="00CA35B7">
      <w:pPr>
        <w:pStyle w:val="KMnormal"/>
      </w:pPr>
      <w:r w:rsidRPr="00CA35B7">
        <w:t>Dopravní řešení a napojení na komunikaci je stávající</w:t>
      </w:r>
      <w:r w:rsidR="000A3AC9">
        <w:t xml:space="preserve">. </w:t>
      </w:r>
    </w:p>
    <w:p w14:paraId="1E48A880" w14:textId="77777777" w:rsidR="00E24D80" w:rsidRDefault="000A3AC9">
      <w:pPr>
        <w:pStyle w:val="KMnadpis3"/>
        <w:numPr>
          <w:ilvl w:val="0"/>
          <w:numId w:val="9"/>
        </w:numPr>
      </w:pPr>
      <w:bookmarkStart w:id="69" w:name="_Toc137721378"/>
      <w:r>
        <w:t>Napojení území na stávající dopravní infrastrukturu:</w:t>
      </w:r>
      <w:bookmarkEnd w:id="69"/>
    </w:p>
    <w:p w14:paraId="1E48A881" w14:textId="5F728B41" w:rsidR="00E24D80" w:rsidRDefault="000A3AC9">
      <w:pPr>
        <w:pStyle w:val="KMnormal"/>
      </w:pPr>
      <w:r>
        <w:t>Objekt zůstane napojený na stejným způsobem jako před rekonstrukcí</w:t>
      </w:r>
      <w:r w:rsidR="00BE7B23">
        <w:t>.</w:t>
      </w:r>
    </w:p>
    <w:p w14:paraId="1E48A882" w14:textId="77777777" w:rsidR="00E24D80" w:rsidRDefault="000A3AC9">
      <w:pPr>
        <w:pStyle w:val="KMnadpis3"/>
        <w:numPr>
          <w:ilvl w:val="0"/>
          <w:numId w:val="9"/>
        </w:numPr>
      </w:pPr>
      <w:bookmarkStart w:id="70" w:name="_Toc137721379"/>
      <w:r>
        <w:t>Doprava v klidu:</w:t>
      </w:r>
      <w:bookmarkEnd w:id="70"/>
    </w:p>
    <w:p w14:paraId="1E48A883" w14:textId="261E222F" w:rsidR="00E24D80" w:rsidRDefault="00BE7B23">
      <w:pPr>
        <w:pStyle w:val="KMnormal"/>
      </w:pPr>
      <w:r>
        <w:t>Ne</w:t>
      </w:r>
      <w:r w:rsidR="00193E65">
        <w:t>ní součástí řešení projektu</w:t>
      </w:r>
      <w:r w:rsidR="000A3AC9">
        <w:t>.</w:t>
      </w:r>
    </w:p>
    <w:p w14:paraId="1E48A884" w14:textId="77777777" w:rsidR="00E24D80" w:rsidRDefault="000A3AC9">
      <w:pPr>
        <w:pStyle w:val="KMnadpis3"/>
        <w:numPr>
          <w:ilvl w:val="0"/>
          <w:numId w:val="9"/>
        </w:numPr>
      </w:pPr>
      <w:bookmarkStart w:id="71" w:name="_Toc137721380"/>
      <w:r>
        <w:t>Pěší a cyklistické stezky:</w:t>
      </w:r>
      <w:bookmarkEnd w:id="71"/>
    </w:p>
    <w:p w14:paraId="1E48A885" w14:textId="77777777" w:rsidR="00E24D80" w:rsidRDefault="000A3AC9">
      <w:pPr>
        <w:pStyle w:val="KMnormal"/>
      </w:pPr>
      <w:r>
        <w:t>Neřeší se.</w:t>
      </w:r>
    </w:p>
    <w:p w14:paraId="1E48A886" w14:textId="77777777" w:rsidR="00E24D80" w:rsidRDefault="000A3AC9">
      <w:pPr>
        <w:pStyle w:val="KMnadpis1"/>
        <w:numPr>
          <w:ilvl w:val="0"/>
          <w:numId w:val="2"/>
        </w:numPr>
      </w:pPr>
      <w:bookmarkStart w:id="72" w:name="_Toc137721381"/>
      <w:bookmarkStart w:id="73" w:name="_Toc137723577"/>
      <w:r>
        <w:t>Řešení vegetace a souvisejících terénních úprav</w:t>
      </w:r>
      <w:bookmarkEnd w:id="72"/>
      <w:bookmarkEnd w:id="73"/>
      <w:r>
        <w:t xml:space="preserve"> </w:t>
      </w:r>
    </w:p>
    <w:p w14:paraId="1E48A887" w14:textId="77777777" w:rsidR="00E24D80" w:rsidRDefault="000A3AC9">
      <w:pPr>
        <w:pStyle w:val="KMnadpis3"/>
        <w:numPr>
          <w:ilvl w:val="0"/>
          <w:numId w:val="10"/>
        </w:numPr>
      </w:pPr>
      <w:bookmarkStart w:id="74" w:name="_Toc137721382"/>
      <w:r>
        <w:t>Terénní úpravy:</w:t>
      </w:r>
      <w:bookmarkEnd w:id="74"/>
    </w:p>
    <w:p w14:paraId="1E48A888" w14:textId="4594C7F6" w:rsidR="00E24D80" w:rsidRDefault="00193E65">
      <w:pPr>
        <w:pStyle w:val="KMnormal"/>
      </w:pPr>
      <w:r>
        <w:t>Není součástí řešení projektu – jedná se o rekonstrukci výtahových šachet v centrální části objektu.</w:t>
      </w:r>
    </w:p>
    <w:p w14:paraId="1E48A889" w14:textId="77777777" w:rsidR="00E24D80" w:rsidRDefault="000A3AC9">
      <w:pPr>
        <w:pStyle w:val="KMnadpis3"/>
        <w:numPr>
          <w:ilvl w:val="0"/>
          <w:numId w:val="10"/>
        </w:numPr>
      </w:pPr>
      <w:bookmarkStart w:id="75" w:name="_Toc137721383"/>
      <w:r>
        <w:t>Použité vegetační prvky:</w:t>
      </w:r>
      <w:bookmarkEnd w:id="75"/>
    </w:p>
    <w:p w14:paraId="1E48A88A" w14:textId="573431C5" w:rsidR="00E24D80" w:rsidRDefault="00193E65">
      <w:pPr>
        <w:pStyle w:val="KMnormal"/>
      </w:pPr>
      <w:r>
        <w:t>Neřeší se</w:t>
      </w:r>
      <w:r w:rsidR="000A3AC9">
        <w:t>.</w:t>
      </w:r>
    </w:p>
    <w:p w14:paraId="1E48A88B" w14:textId="77777777" w:rsidR="00E24D80" w:rsidRDefault="000A3AC9">
      <w:pPr>
        <w:pStyle w:val="KMnadpis3"/>
        <w:numPr>
          <w:ilvl w:val="0"/>
          <w:numId w:val="10"/>
        </w:numPr>
      </w:pPr>
      <w:bookmarkStart w:id="76" w:name="_Toc137721384"/>
      <w:r>
        <w:lastRenderedPageBreak/>
        <w:t>Biochemická opatření:</w:t>
      </w:r>
      <w:bookmarkEnd w:id="76"/>
    </w:p>
    <w:p w14:paraId="1E48A88C" w14:textId="77777777" w:rsidR="00E24D80" w:rsidRDefault="000A3AC9">
      <w:pPr>
        <w:pStyle w:val="KMnormal"/>
      </w:pPr>
      <w:r>
        <w:t>Neřeší se.</w:t>
      </w:r>
    </w:p>
    <w:p w14:paraId="1E48A88D" w14:textId="77777777" w:rsidR="00E24D80" w:rsidRDefault="000A3AC9">
      <w:pPr>
        <w:pStyle w:val="KMnadpis1"/>
        <w:numPr>
          <w:ilvl w:val="0"/>
          <w:numId w:val="2"/>
        </w:numPr>
      </w:pPr>
      <w:bookmarkStart w:id="77" w:name="_Toc137721385"/>
      <w:bookmarkStart w:id="78" w:name="_Toc137723578"/>
      <w:r>
        <w:t>Popis vlivů stavby na životní prostředí a jeho ochrana</w:t>
      </w:r>
      <w:bookmarkEnd w:id="77"/>
      <w:bookmarkEnd w:id="78"/>
    </w:p>
    <w:p w14:paraId="1E48A88E" w14:textId="77777777" w:rsidR="00E24D80" w:rsidRDefault="000A3AC9">
      <w:pPr>
        <w:pStyle w:val="KMnadpis3"/>
        <w:numPr>
          <w:ilvl w:val="0"/>
          <w:numId w:val="11"/>
        </w:numPr>
      </w:pPr>
      <w:bookmarkStart w:id="79" w:name="_Toc137721386"/>
      <w:r>
        <w:t>Vliv na životní prostředí – ovzduší, hluk, voda, odpady a půda:</w:t>
      </w:r>
      <w:bookmarkEnd w:id="79"/>
    </w:p>
    <w:p w14:paraId="1E48A88F" w14:textId="5E8679BB" w:rsidR="00E24D80" w:rsidRDefault="00CA35B7">
      <w:pPr>
        <w:pStyle w:val="KMnormal"/>
      </w:pPr>
      <w:r w:rsidRPr="00CA35B7">
        <w:t>Rekonstrukce nevyvolává žádné negativní vlivy na přírodu a krajinu.</w:t>
      </w:r>
    </w:p>
    <w:p w14:paraId="1E48A890" w14:textId="77777777" w:rsidR="00E24D80" w:rsidRDefault="000A3AC9">
      <w:pPr>
        <w:pStyle w:val="KMnadpis3"/>
        <w:numPr>
          <w:ilvl w:val="0"/>
          <w:numId w:val="11"/>
        </w:numPr>
      </w:pPr>
      <w:bookmarkStart w:id="80" w:name="_Toc137721387"/>
      <w:r>
        <w:t>Vliv na přírodu a krajinu – ochrana dřevin, ochrana památkových stromů, ochrana rostlin a živočichů, zachování ekologických funkcí a vazeb v krajině apod.:</w:t>
      </w:r>
      <w:bookmarkEnd w:id="80"/>
    </w:p>
    <w:p w14:paraId="1E48A891" w14:textId="77777777" w:rsidR="00E24D80" w:rsidRDefault="000A3AC9">
      <w:pPr>
        <w:pStyle w:val="KMnormal"/>
      </w:pPr>
      <w:r>
        <w:t xml:space="preserve">Realizací nebude dotčena okolní krajina ani zeleň. </w:t>
      </w:r>
    </w:p>
    <w:p w14:paraId="1E48A892" w14:textId="77777777" w:rsidR="00E24D80" w:rsidRDefault="000A3AC9">
      <w:pPr>
        <w:pStyle w:val="KMnadpis3"/>
        <w:numPr>
          <w:ilvl w:val="0"/>
          <w:numId w:val="11"/>
        </w:numPr>
      </w:pPr>
      <w:bookmarkStart w:id="81" w:name="_Toc137721388"/>
      <w:r>
        <w:t>Vliv na soustavu chráněných území Natura 2000:</w:t>
      </w:r>
      <w:bookmarkEnd w:id="81"/>
    </w:p>
    <w:p w14:paraId="1E48A893" w14:textId="77777777" w:rsidR="00E24D80" w:rsidRDefault="000A3AC9">
      <w:pPr>
        <w:pStyle w:val="KMnormal"/>
      </w:pPr>
      <w:r>
        <w:t xml:space="preserve">Bez vlivu. </w:t>
      </w:r>
    </w:p>
    <w:p w14:paraId="1E48A894" w14:textId="77777777" w:rsidR="00E24D80" w:rsidRDefault="000A3AC9">
      <w:pPr>
        <w:pStyle w:val="KMnadpis3"/>
        <w:numPr>
          <w:ilvl w:val="0"/>
          <w:numId w:val="11"/>
        </w:numPr>
      </w:pPr>
      <w:bookmarkStart w:id="82" w:name="_Toc137721389"/>
      <w:r>
        <w:t>Způsob zohlednění podmínek závazného stanoviska posouzení vlivu záměru na životní prostředí, je-li podkladem:</w:t>
      </w:r>
      <w:bookmarkEnd w:id="82"/>
    </w:p>
    <w:p w14:paraId="1E48A895" w14:textId="77777777" w:rsidR="00E24D80" w:rsidRDefault="000A3AC9">
      <w:pPr>
        <w:pStyle w:val="KMnormal"/>
      </w:pPr>
      <w:r>
        <w:t>Není.</w:t>
      </w:r>
    </w:p>
    <w:p w14:paraId="1E48A896" w14:textId="77777777" w:rsidR="00E24D80" w:rsidRDefault="000A3AC9">
      <w:pPr>
        <w:pStyle w:val="KMnadpis3"/>
        <w:numPr>
          <w:ilvl w:val="0"/>
          <w:numId w:val="11"/>
        </w:numPr>
      </w:pPr>
      <w:bookmarkStart w:id="83" w:name="_Toc137721390"/>
      <w:r>
        <w:t>V případě záměrů spadajících do režimu zákona o integrované prevenci základní parametry způsobu naplnění závěrů o nejlepších dostupných technikách nebo integrované povolení, bylo-li vydáno:</w:t>
      </w:r>
      <w:bookmarkEnd w:id="83"/>
    </w:p>
    <w:p w14:paraId="1E48A897" w14:textId="77777777" w:rsidR="00E24D80" w:rsidRDefault="000A3AC9">
      <w:pPr>
        <w:pStyle w:val="KMnormal"/>
      </w:pPr>
      <w:r>
        <w:t xml:space="preserve">Nebylo. </w:t>
      </w:r>
    </w:p>
    <w:p w14:paraId="1E48A898" w14:textId="77777777" w:rsidR="00E24D80" w:rsidRDefault="000A3AC9">
      <w:pPr>
        <w:pStyle w:val="KMnadpis3"/>
        <w:numPr>
          <w:ilvl w:val="0"/>
          <w:numId w:val="11"/>
        </w:numPr>
      </w:pPr>
      <w:bookmarkStart w:id="84" w:name="_Toc137721391"/>
      <w:r>
        <w:t>Navrhovaná ochranná a bezpečnostní pásma, rozsah omezení a podmínky ochrany podle jiných právních předpisů:</w:t>
      </w:r>
      <w:bookmarkEnd w:id="84"/>
    </w:p>
    <w:p w14:paraId="1E48A899" w14:textId="77777777" w:rsidR="00E24D80" w:rsidRDefault="000A3AC9">
      <w:pPr>
        <w:pStyle w:val="KMnormal"/>
      </w:pPr>
      <w:r>
        <w:t xml:space="preserve">Bez ochranného pásma. </w:t>
      </w:r>
    </w:p>
    <w:p w14:paraId="1E48A89A" w14:textId="77777777" w:rsidR="00E24D80" w:rsidRDefault="000A3AC9">
      <w:pPr>
        <w:pStyle w:val="KMnadpis1"/>
        <w:numPr>
          <w:ilvl w:val="0"/>
          <w:numId w:val="2"/>
        </w:numPr>
      </w:pPr>
      <w:bookmarkStart w:id="85" w:name="_Toc137721392"/>
      <w:bookmarkStart w:id="86" w:name="_Toc137723579"/>
      <w:r>
        <w:t>Ochrana obyvatelstva</w:t>
      </w:r>
      <w:bookmarkEnd w:id="85"/>
      <w:bookmarkEnd w:id="86"/>
    </w:p>
    <w:p w14:paraId="1E48A89B" w14:textId="23FF9F21" w:rsidR="00E24D80" w:rsidRDefault="00A06C75" w:rsidP="00961AD4">
      <w:pPr>
        <w:pStyle w:val="KMnormal"/>
        <w:jc w:val="both"/>
      </w:pPr>
      <w:r w:rsidRPr="009C556D">
        <w:t>Objekt není určen pro ochranu obyvatelstva. Obyvatelé v případě ohrožení budou využívat místní systém ochrany obyvatelstva.</w:t>
      </w:r>
      <w:r w:rsidR="000A3AC9">
        <w:t xml:space="preserve"> </w:t>
      </w:r>
    </w:p>
    <w:p w14:paraId="1E48A89C" w14:textId="77777777" w:rsidR="00E24D80" w:rsidRDefault="000A3AC9">
      <w:pPr>
        <w:pStyle w:val="KMnadpis1"/>
        <w:numPr>
          <w:ilvl w:val="0"/>
          <w:numId w:val="2"/>
        </w:numPr>
      </w:pPr>
      <w:bookmarkStart w:id="87" w:name="_Toc137721393"/>
      <w:bookmarkStart w:id="88" w:name="_Toc137723580"/>
      <w:r>
        <w:t>Zásady organizace výstavby</w:t>
      </w:r>
      <w:bookmarkEnd w:id="87"/>
      <w:bookmarkEnd w:id="88"/>
    </w:p>
    <w:p w14:paraId="1E48A89D" w14:textId="77777777" w:rsidR="00E24D80" w:rsidRDefault="000A3AC9">
      <w:pPr>
        <w:pStyle w:val="KMnadpis3"/>
        <w:numPr>
          <w:ilvl w:val="0"/>
          <w:numId w:val="12"/>
        </w:numPr>
      </w:pPr>
      <w:bookmarkStart w:id="89" w:name="_Toc137721394"/>
      <w:r>
        <w:t>Potřeby a spotřeby rozhodujících médií a hmot, jejich zajištění:</w:t>
      </w:r>
      <w:bookmarkEnd w:id="89"/>
    </w:p>
    <w:p w14:paraId="1E48A89E" w14:textId="752ECD1F" w:rsidR="00E24D80" w:rsidRDefault="00961AD4" w:rsidP="00961AD4">
      <w:pPr>
        <w:pStyle w:val="KMnormal"/>
        <w:jc w:val="both"/>
      </w:pPr>
      <w:r w:rsidRPr="002F0DB6">
        <w:t>Množství a výpis jednotlivých stavebních materiálů není součástí dokumentace. Materiály budou skladovány na předmětném pozemku. Skladování bude dle předpisů výrobce materiálu. Ostatní prvky budou průběžně na stavbu dováženy a zpracovávány. Staveniště bude mít zajištěnou dodávku elektrické energie a vody. Dodavatel si zajistí požadovaný odběr energií a dohodne detailní způsob staveništního odběru se stavebníkem, případně i s příslušným správcem sítě</w:t>
      </w:r>
      <w:r w:rsidR="000A3AC9">
        <w:t>.</w:t>
      </w:r>
    </w:p>
    <w:p w14:paraId="1E48A89F" w14:textId="77777777" w:rsidR="00E24D80" w:rsidRDefault="000A3AC9">
      <w:pPr>
        <w:pStyle w:val="KMnadpis3"/>
        <w:numPr>
          <w:ilvl w:val="0"/>
          <w:numId w:val="12"/>
        </w:numPr>
      </w:pPr>
      <w:bookmarkStart w:id="90" w:name="_Toc137721395"/>
      <w:r>
        <w:t>Odvodnění staveniště:</w:t>
      </w:r>
      <w:bookmarkEnd w:id="90"/>
    </w:p>
    <w:p w14:paraId="1E48A8A0" w14:textId="77777777" w:rsidR="00E24D80" w:rsidRDefault="000A3AC9">
      <w:pPr>
        <w:pStyle w:val="KMnormal"/>
      </w:pPr>
      <w:r>
        <w:t>Vzhledem k rozsahu se neřeší.</w:t>
      </w:r>
    </w:p>
    <w:p w14:paraId="1E48A8A1" w14:textId="77777777" w:rsidR="00E24D80" w:rsidRDefault="000A3AC9">
      <w:pPr>
        <w:pStyle w:val="KMnadpis3"/>
        <w:numPr>
          <w:ilvl w:val="0"/>
          <w:numId w:val="12"/>
        </w:numPr>
      </w:pPr>
      <w:bookmarkStart w:id="91" w:name="_Toc137721396"/>
      <w:r>
        <w:lastRenderedPageBreak/>
        <w:t>Napojení staveniště na stávající dopravní a technickou infrastrukturu:</w:t>
      </w:r>
      <w:bookmarkEnd w:id="91"/>
    </w:p>
    <w:p w14:paraId="1E48A8A2" w14:textId="09A35614" w:rsidR="00E24D80" w:rsidRDefault="008F6A71">
      <w:pPr>
        <w:pStyle w:val="KMnormal"/>
      </w:pPr>
      <w:r w:rsidRPr="00CA35B7">
        <w:t>Dopravní řešení a napojení na komunikaci je stávající</w:t>
      </w:r>
      <w:r w:rsidR="000A3AC9">
        <w:t>.</w:t>
      </w:r>
    </w:p>
    <w:p w14:paraId="1E48A8A3" w14:textId="77777777" w:rsidR="00E24D80" w:rsidRDefault="000A3AC9">
      <w:pPr>
        <w:pStyle w:val="KMnadpis3"/>
        <w:numPr>
          <w:ilvl w:val="0"/>
          <w:numId w:val="12"/>
        </w:numPr>
      </w:pPr>
      <w:bookmarkStart w:id="92" w:name="_Toc137721397"/>
      <w:r>
        <w:t>Vliv provádění stavby na okolní stavby a pozemky:</w:t>
      </w:r>
      <w:bookmarkEnd w:id="92"/>
    </w:p>
    <w:p w14:paraId="1E48A8A4" w14:textId="77777777" w:rsidR="00E24D80" w:rsidRDefault="000A3AC9" w:rsidP="00961AD4">
      <w:pPr>
        <w:pStyle w:val="KMnormal"/>
        <w:jc w:val="both"/>
      </w:pPr>
      <w:r>
        <w:t xml:space="preserve">Zhotovitel musí zajistit opatření pro minimalizaci rozptylu prachových částic například pomocí vlhčení bouraných konstrukcí a shazovaných sutí. </w:t>
      </w:r>
    </w:p>
    <w:p w14:paraId="1E48A8A5" w14:textId="77777777" w:rsidR="00E24D80" w:rsidRDefault="000A3AC9">
      <w:pPr>
        <w:pStyle w:val="KMnadpis3"/>
        <w:numPr>
          <w:ilvl w:val="0"/>
          <w:numId w:val="12"/>
        </w:numPr>
      </w:pPr>
      <w:bookmarkStart w:id="93" w:name="_Toc137721398"/>
      <w:r>
        <w:t>Ochrana okolí staveniště a požadavky na související asanace, demolice, kácení dřevin:</w:t>
      </w:r>
      <w:bookmarkEnd w:id="93"/>
    </w:p>
    <w:p w14:paraId="6DD150A1" w14:textId="737AFB04" w:rsidR="00961AD4" w:rsidRDefault="00961AD4" w:rsidP="00961AD4">
      <w:pPr>
        <w:pStyle w:val="KMnormal"/>
        <w:jc w:val="both"/>
      </w:pPr>
      <w:r>
        <w:t xml:space="preserve">Pokud není staveniště zajištěno jiným způsobem, musí být oploceno v zastavěném území obce souvislým oplocením výšky minimálně 1,8 m tak, aby byla zajištěna ochrana staveniště a byl oddělen prostor staveniště od okolí. Pro ochranu okolí stavby z hlediska hlukových poměrů je potřeba důsledně postupovat podle nařízení vlády ze dne 24.8.2011 o ochraně zdraví před nebezpečnými účinky hluku a vibrací, uveřejněné ve sbírce zákonů ČR č. 272/2011 Sb. a zejména – hluk v chráněném venkovním prostoru, v chráněných vnitřních prostorech staveb a v chráněných venkovních prostorech staveb a Nejvyšší přípustné hodnoty hluku ve venkovním prostoru. Vzhledem k tomu, že se jedná o realizaci jednoduché stavby a při stavbě budou použity běžné drobné stavební elektrické stroje a ruční nářadí, které splňují výše uvedené akustické požadavky (např. míchačka, vrtačka, el. kompresor) a pracovní doba, při provádění stavby, bude v časovém rozmezí dle výše uvedeného předpisu, budou požadavky na nejvyšší přípustnou ekvivalentní hladinu akustického tlaku dle příslušného předpisu splněny. Skladovaný prašný materiál bude řádně zakryt a při manipulaci s ním </w:t>
      </w:r>
      <w:proofErr w:type="gramStart"/>
      <w:r>
        <w:t>bude</w:t>
      </w:r>
      <w:proofErr w:type="gramEnd"/>
      <w:r>
        <w:t xml:space="preserve"> pokud možno zkrápěn vodou, aby se zamezilo nadměrné prašnosti. Dopravní prostředky musí mít ložnou plochu zakrytu plachtou nebo musí být uzavřeny. Zároveň budou při odjezdu na veřejnou komunikaci očištěny. </w:t>
      </w:r>
    </w:p>
    <w:p w14:paraId="1E48A8A6" w14:textId="283ED6E2" w:rsidR="00E24D80" w:rsidRDefault="00961AD4" w:rsidP="00961AD4">
      <w:pPr>
        <w:pStyle w:val="KMnormal"/>
        <w:jc w:val="both"/>
      </w:pPr>
      <w:r>
        <w:t xml:space="preserve">Odpady, které vzniknou při výstavbě, budou likvidovány v souladu se zákonem č. 541/2020 Sb. o odpadech, jeho prováděcími předpisy a předpisy s ním souvisejícími (vyhláška č. 8/2021 Sb., vyhláška č. 8/2021Sb. a vyhláška č. 273/2021 Sb.). Při veškerých pracích je nutno dodržovat bezpečnostní předpisy, zejména </w:t>
      </w:r>
      <w:proofErr w:type="spellStart"/>
      <w:r>
        <w:t>vyhl.č</w:t>
      </w:r>
      <w:proofErr w:type="spellEnd"/>
      <w:r>
        <w:t>. 591/2006 Sb. o bližších minimálních požadavcích na bezpečnost a ochranu zdraví při práci na staveništích. Staveniště se musí zařídit, uspořádat a vybavit přísunovými cestami pro dopravu materiálu tak, aby se stavba mohla řádně a bezpečně provádět</w:t>
      </w:r>
      <w:r w:rsidR="000A3AC9">
        <w:t>.</w:t>
      </w:r>
    </w:p>
    <w:p w14:paraId="1E48A8A7" w14:textId="77777777" w:rsidR="00E24D80" w:rsidRDefault="000A3AC9">
      <w:pPr>
        <w:pStyle w:val="KMnadpis3"/>
        <w:numPr>
          <w:ilvl w:val="0"/>
          <w:numId w:val="12"/>
        </w:numPr>
      </w:pPr>
      <w:bookmarkStart w:id="94" w:name="_Toc137721399"/>
      <w:r>
        <w:t>Maximální dočasné a trvalé zábory pro staveniště:</w:t>
      </w:r>
      <w:bookmarkEnd w:id="94"/>
    </w:p>
    <w:p w14:paraId="1E48A8A8" w14:textId="0EA17C3C" w:rsidR="00E24D80" w:rsidRDefault="00961AD4" w:rsidP="00961AD4">
      <w:pPr>
        <w:pStyle w:val="KMnormal"/>
        <w:jc w:val="both"/>
      </w:pPr>
      <w:r>
        <w:t>Pro stavbu se nepředpokládají zábory veřejných ploch, veškeré stavební práce budou probíhat na pozemcích stavby, zařízení staveniště bude taktéž umístěno na pozemcích stavby</w:t>
      </w:r>
      <w:r w:rsidR="000A3AC9">
        <w:t>.</w:t>
      </w:r>
    </w:p>
    <w:p w14:paraId="1E48A8A9" w14:textId="77777777" w:rsidR="00E24D80" w:rsidRDefault="000A3AC9">
      <w:pPr>
        <w:pStyle w:val="KMnadpis3"/>
        <w:numPr>
          <w:ilvl w:val="0"/>
          <w:numId w:val="12"/>
        </w:numPr>
      </w:pPr>
      <w:bookmarkStart w:id="95" w:name="_Toc137721400"/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trasy:</w:t>
      </w:r>
      <w:bookmarkEnd w:id="95"/>
    </w:p>
    <w:p w14:paraId="1E48A8AA" w14:textId="77777777" w:rsidR="00E24D80" w:rsidRDefault="000A3AC9">
      <w:pPr>
        <w:pStyle w:val="KMnormal"/>
      </w:pPr>
      <w:r>
        <w:t>Žádné chodníky na veřejných prostranství nebudou omezeny.</w:t>
      </w:r>
    </w:p>
    <w:p w14:paraId="1E48A8AB" w14:textId="77777777" w:rsidR="00E24D80" w:rsidRDefault="000A3AC9">
      <w:pPr>
        <w:pStyle w:val="KMnadpis3"/>
        <w:numPr>
          <w:ilvl w:val="0"/>
          <w:numId w:val="12"/>
        </w:numPr>
      </w:pPr>
      <w:bookmarkStart w:id="96" w:name="_Toc137721401"/>
      <w:r>
        <w:lastRenderedPageBreak/>
        <w:t>Maximální produkovaná množství a druhy odpadů a emisí při výstavbě, jejich likvidace:</w:t>
      </w:r>
      <w:bookmarkEnd w:id="96"/>
    </w:p>
    <w:p w14:paraId="2D1BB889" w14:textId="308AE74A" w:rsidR="009D24C8" w:rsidRDefault="009D24C8" w:rsidP="009D24C8">
      <w:pPr>
        <w:pStyle w:val="KMnormal"/>
        <w:spacing w:before="60" w:after="80"/>
        <w:jc w:val="both"/>
      </w:pPr>
      <w:r>
        <w:t>Produkované odpady budou ukládány a zneškodňovány v souladu s platnou legislativou.</w:t>
      </w:r>
    </w:p>
    <w:p w14:paraId="1B83205C" w14:textId="77777777" w:rsidR="009D24C8" w:rsidRDefault="009D24C8" w:rsidP="009D24C8">
      <w:pPr>
        <w:pStyle w:val="KMnormal"/>
        <w:spacing w:before="60" w:after="80"/>
        <w:jc w:val="both"/>
      </w:pPr>
      <w:r>
        <w:t>Veškeré popsané odpady jsou zatříděny do kategorie „O“. Žádný odpad nebude nebezpečný „N“.</w:t>
      </w:r>
    </w:p>
    <w:p w14:paraId="107D32EE" w14:textId="77777777" w:rsidR="009D24C8" w:rsidRDefault="009D24C8" w:rsidP="009D24C8">
      <w:pPr>
        <w:pStyle w:val="KMnormal"/>
        <w:spacing w:before="60" w:after="80"/>
        <w:jc w:val="both"/>
      </w:pPr>
      <w:r>
        <w:t xml:space="preserve">S veškerými odpady bude náležitě nakládáno ve smyslu ustanovení zákona č. 541/2020 Sb., Zákon o odpadech, vyhlášky č. 8/2021 Sb., Vyhláška o Katalogu odpadů a posuzování vlastností odpadů (Katalog odpadů), vyhlášky č. 273/2021 Sb., Vyhláška o podrobnostech nakládání s odpady, a předpisů souvisejících s odvozem na legální skládky a úložiště. Původce odpadů je povinen odpady zařazovat podle druhů a kategorií  podle § 6 zákona č. 541/2020 Sb. Odpady, které sám nemůže využít nebo odstranit v souladu s tímto zákonem č. 541/2020 Sb., Zákon o odpadech, a prováděcími právními předpisy, převést do vlastnictví pouze osobě oprávněné k jejich převzetí podle § 13 odstavce (1) písmene e) zákona č. 541/2020 Sb., Zákon o odpadech, a to buď přímo, nebo prostřednictvím k tomu zřízené právnické osoby podle § 13 odstavce (2) zákona č. 541/2020 Sb., Zákon o odpadech. Odpady lze ukládat na pouze na skládky, které svým technickým provedením splňují požadavky pro ukládání těchto odpadů. </w:t>
      </w:r>
    </w:p>
    <w:p w14:paraId="2E178F35" w14:textId="77777777" w:rsidR="009D24C8" w:rsidRDefault="009D24C8" w:rsidP="009D24C8">
      <w:pPr>
        <w:pStyle w:val="KMnormal"/>
        <w:spacing w:before="60" w:after="80"/>
        <w:jc w:val="both"/>
      </w:pPr>
      <w:r>
        <w:t>Rozhodujícím hlediskem pro ukládání odpadů na skládky je jejich složení, mísitelnost, nebezpečné vlastnosti a obsah škodlivých látek ve vodním výluhu, podrobněji podle vyhlášky č. 8/2021 Sb., Vyhláška o Katalogu odpadů a posuzování vlastností odpadů (Katalog odpadů).</w:t>
      </w:r>
    </w:p>
    <w:p w14:paraId="1E48A8AF" w14:textId="7DCFC8F2" w:rsidR="00E24D80" w:rsidRDefault="009D24C8" w:rsidP="009D24C8">
      <w:pPr>
        <w:pStyle w:val="KMnormal"/>
        <w:spacing w:before="60" w:after="80"/>
        <w:jc w:val="both"/>
      </w:pPr>
      <w:bookmarkStart w:id="97" w:name="_Hlk169176852"/>
      <w:r w:rsidRPr="006E02C0">
        <w:t>Při stavbě vzniknou převážně odpady:</w:t>
      </w:r>
    </w:p>
    <w:tbl>
      <w:tblPr>
        <w:tblStyle w:val="Mkatabulky"/>
        <w:tblW w:w="0" w:type="auto"/>
        <w:tblInd w:w="988" w:type="dxa"/>
        <w:tblLook w:val="04A0" w:firstRow="1" w:lastRow="0" w:firstColumn="1" w:lastColumn="0" w:noHBand="0" w:noVBand="1"/>
      </w:tblPr>
      <w:tblGrid>
        <w:gridCol w:w="776"/>
        <w:gridCol w:w="1323"/>
        <w:gridCol w:w="1243"/>
        <w:gridCol w:w="1563"/>
        <w:gridCol w:w="1643"/>
        <w:gridCol w:w="1669"/>
      </w:tblGrid>
      <w:tr w:rsidR="00F84866" w14:paraId="70B3E61E" w14:textId="77777777" w:rsidTr="26CF9E18">
        <w:tc>
          <w:tcPr>
            <w:tcW w:w="8217" w:type="dxa"/>
            <w:gridSpan w:val="6"/>
          </w:tcPr>
          <w:p w14:paraId="2A6E9E19" w14:textId="19921C12" w:rsidR="00F84866" w:rsidRPr="00595817" w:rsidRDefault="00F84866" w:rsidP="00F84866">
            <w:pPr>
              <w:pStyle w:val="KMnormal"/>
              <w:ind w:left="0"/>
              <w:jc w:val="center"/>
              <w:rPr>
                <w:rFonts w:cs="Times New Roman"/>
                <w:b/>
                <w:bCs/>
                <w:szCs w:val="24"/>
              </w:rPr>
            </w:pPr>
            <w:r w:rsidRPr="00512C49">
              <w:rPr>
                <w:rFonts w:cs="Times New Roman"/>
                <w:b/>
                <w:bCs/>
                <w:szCs w:val="24"/>
                <w:shd w:val="clear" w:color="auto" w:fill="FAF9F8"/>
              </w:rPr>
              <w:t xml:space="preserve">Charakteristika a zatřídění předpokládaných odpadů ze </w:t>
            </w:r>
            <w:proofErr w:type="gramStart"/>
            <w:r w:rsidRPr="00512C49">
              <w:rPr>
                <w:rFonts w:cs="Times New Roman"/>
                <w:b/>
                <w:bCs/>
                <w:szCs w:val="24"/>
                <w:shd w:val="clear" w:color="auto" w:fill="FAF9F8"/>
              </w:rPr>
              <w:t>stavby</w:t>
            </w:r>
            <w:r w:rsidR="00512C49" w:rsidRPr="00512C49">
              <w:rPr>
                <w:rFonts w:cs="Times New Roman"/>
                <w:b/>
                <w:bCs/>
                <w:szCs w:val="24"/>
                <w:shd w:val="clear" w:color="auto" w:fill="FAF9F8"/>
              </w:rPr>
              <w:t xml:space="preserve"> - odhad</w:t>
            </w:r>
            <w:proofErr w:type="gramEnd"/>
          </w:p>
        </w:tc>
      </w:tr>
      <w:tr w:rsidR="00A065E1" w14:paraId="2819389B" w14:textId="77777777" w:rsidTr="00A01AA4">
        <w:tc>
          <w:tcPr>
            <w:tcW w:w="776" w:type="dxa"/>
          </w:tcPr>
          <w:p w14:paraId="40900037" w14:textId="3052668B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Kód</w:t>
            </w:r>
          </w:p>
        </w:tc>
        <w:tc>
          <w:tcPr>
            <w:tcW w:w="1323" w:type="dxa"/>
          </w:tcPr>
          <w:p w14:paraId="6F65066F" w14:textId="731DF59D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Zatřídění odpadu</w:t>
            </w:r>
          </w:p>
        </w:tc>
        <w:tc>
          <w:tcPr>
            <w:tcW w:w="1243" w:type="dxa"/>
          </w:tcPr>
          <w:p w14:paraId="11B4C2F8" w14:textId="4732A27D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Název odpadu</w:t>
            </w:r>
          </w:p>
        </w:tc>
        <w:tc>
          <w:tcPr>
            <w:tcW w:w="1563" w:type="dxa"/>
          </w:tcPr>
          <w:p w14:paraId="5EA85445" w14:textId="6678C208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Původ</w:t>
            </w:r>
          </w:p>
        </w:tc>
        <w:tc>
          <w:tcPr>
            <w:tcW w:w="1643" w:type="dxa"/>
          </w:tcPr>
          <w:p w14:paraId="7AB5D366" w14:textId="0BD54A56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Předpokládané množství</w:t>
            </w:r>
          </w:p>
        </w:tc>
        <w:tc>
          <w:tcPr>
            <w:tcW w:w="1669" w:type="dxa"/>
          </w:tcPr>
          <w:p w14:paraId="2C7BE552" w14:textId="1AD928B7" w:rsidR="00F84866" w:rsidRPr="00E3657C" w:rsidRDefault="00F84866" w:rsidP="00F84866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Nakládání s odpady</w:t>
            </w:r>
          </w:p>
        </w:tc>
      </w:tr>
      <w:tr w:rsidR="00BD1BE5" w14:paraId="1D3B65CD" w14:textId="77777777" w:rsidTr="00A01AA4">
        <w:trPr>
          <w:trHeight w:val="770"/>
        </w:trPr>
        <w:tc>
          <w:tcPr>
            <w:tcW w:w="776" w:type="dxa"/>
            <w:vMerge w:val="restart"/>
            <w:vAlign w:val="center"/>
          </w:tcPr>
          <w:p w14:paraId="5A8CADAC" w14:textId="068B7628" w:rsidR="00BD1BE5" w:rsidRPr="00E3657C" w:rsidRDefault="00BD1BE5" w:rsidP="00DF54CC">
            <w:pPr>
              <w:pStyle w:val="KMnormal"/>
              <w:ind w:left="0"/>
              <w:jc w:val="center"/>
              <w:rPr>
                <w:rFonts w:cs="Times New Roman"/>
                <w:szCs w:val="24"/>
                <w:shd w:val="clear" w:color="auto" w:fill="FAF9F8"/>
              </w:rPr>
            </w:pPr>
            <w:r>
              <w:rPr>
                <w:rFonts w:cs="Times New Roman"/>
                <w:szCs w:val="24"/>
                <w:shd w:val="clear" w:color="auto" w:fill="FAF9F8"/>
              </w:rPr>
              <w:t>15 01</w:t>
            </w:r>
          </w:p>
        </w:tc>
        <w:tc>
          <w:tcPr>
            <w:tcW w:w="1323" w:type="dxa"/>
            <w:vAlign w:val="center"/>
          </w:tcPr>
          <w:p w14:paraId="61EF8C94" w14:textId="090FCA39" w:rsidR="00BD1BE5" w:rsidRDefault="00BD1BE5" w:rsidP="00DF54CC">
            <w:pPr>
              <w:pStyle w:val="KMnormal"/>
              <w:ind w:left="0"/>
              <w:jc w:val="center"/>
            </w:pPr>
            <w:r>
              <w:t>P</w:t>
            </w:r>
            <w:r w:rsidRPr="0047376F">
              <w:t>apírové a lepenkové obaly</w:t>
            </w:r>
          </w:p>
        </w:tc>
        <w:tc>
          <w:tcPr>
            <w:tcW w:w="1243" w:type="dxa"/>
            <w:vAlign w:val="center"/>
          </w:tcPr>
          <w:p w14:paraId="3DF0F596" w14:textId="4A4ACAE3" w:rsidR="00BD1BE5" w:rsidRDefault="00BD1BE5" w:rsidP="00DF54CC">
            <w:pPr>
              <w:pStyle w:val="KMnormal"/>
              <w:ind w:left="0"/>
              <w:jc w:val="center"/>
            </w:pPr>
            <w:r w:rsidRPr="005E20C5">
              <w:t>15 01 01</w:t>
            </w:r>
          </w:p>
        </w:tc>
        <w:tc>
          <w:tcPr>
            <w:tcW w:w="1563" w:type="dxa"/>
            <w:vMerge w:val="restart"/>
            <w:vAlign w:val="center"/>
          </w:tcPr>
          <w:p w14:paraId="600A63F1" w14:textId="2E8EF391" w:rsidR="00BD1BE5" w:rsidRDefault="00BD1BE5" w:rsidP="00DF54CC">
            <w:pPr>
              <w:pStyle w:val="KMnormal"/>
              <w:ind w:left="0"/>
              <w:jc w:val="center"/>
            </w:pPr>
            <w:r>
              <w:t>Obaly od materiálů a zařízení</w:t>
            </w:r>
          </w:p>
        </w:tc>
        <w:tc>
          <w:tcPr>
            <w:tcW w:w="1643" w:type="dxa"/>
            <w:vAlign w:val="center"/>
          </w:tcPr>
          <w:p w14:paraId="09A8F656" w14:textId="791A6AE8" w:rsidR="00BD1BE5" w:rsidRDefault="00BD1BE5" w:rsidP="00DF54CC">
            <w:pPr>
              <w:pStyle w:val="KMnormal"/>
              <w:ind w:left="0"/>
              <w:jc w:val="center"/>
            </w:pPr>
            <w:r>
              <w:t>0,</w:t>
            </w:r>
            <w:r w:rsidR="00290770">
              <w:t xml:space="preserve"> </w:t>
            </w:r>
            <w:r w:rsidR="007231F6">
              <w:t>06</w:t>
            </w:r>
            <w:r w:rsidR="00A4644E">
              <w:t>0 t</w:t>
            </w:r>
          </w:p>
        </w:tc>
        <w:tc>
          <w:tcPr>
            <w:tcW w:w="1669" w:type="dxa"/>
            <w:vMerge w:val="restart"/>
            <w:vAlign w:val="center"/>
          </w:tcPr>
          <w:p w14:paraId="31FEF64B" w14:textId="36D9C97A" w:rsidR="00BD1BE5" w:rsidRDefault="008D0752" w:rsidP="00C97A7A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BD1BE5" w14:paraId="493F9E17" w14:textId="77777777" w:rsidTr="00A01AA4">
        <w:trPr>
          <w:trHeight w:val="770"/>
        </w:trPr>
        <w:tc>
          <w:tcPr>
            <w:tcW w:w="776" w:type="dxa"/>
            <w:vMerge/>
            <w:vAlign w:val="center"/>
          </w:tcPr>
          <w:p w14:paraId="2F9472C2" w14:textId="77777777" w:rsidR="00BD1BE5" w:rsidRDefault="00BD1BE5" w:rsidP="00DF54CC">
            <w:pPr>
              <w:pStyle w:val="KMnormal"/>
              <w:ind w:left="0"/>
              <w:jc w:val="center"/>
              <w:rPr>
                <w:rFonts w:cs="Times New Roman"/>
                <w:szCs w:val="24"/>
                <w:shd w:val="clear" w:color="auto" w:fill="FAF9F8"/>
              </w:rPr>
            </w:pPr>
          </w:p>
        </w:tc>
        <w:tc>
          <w:tcPr>
            <w:tcW w:w="1323" w:type="dxa"/>
            <w:vAlign w:val="center"/>
          </w:tcPr>
          <w:p w14:paraId="6D034022" w14:textId="35B3B018" w:rsidR="00BD1BE5" w:rsidRDefault="00BD1BE5" w:rsidP="00DF54CC">
            <w:pPr>
              <w:pStyle w:val="KMnormal"/>
              <w:ind w:left="0"/>
              <w:jc w:val="center"/>
            </w:pPr>
            <w:r>
              <w:t>Plastové obaly</w:t>
            </w:r>
          </w:p>
        </w:tc>
        <w:tc>
          <w:tcPr>
            <w:tcW w:w="1243" w:type="dxa"/>
            <w:vAlign w:val="center"/>
          </w:tcPr>
          <w:p w14:paraId="30C05961" w14:textId="5626A5DC" w:rsidR="00BD1BE5" w:rsidRPr="005E20C5" w:rsidRDefault="00BD1BE5" w:rsidP="00DF54CC">
            <w:pPr>
              <w:pStyle w:val="KMnormal"/>
              <w:ind w:left="0"/>
              <w:jc w:val="center"/>
            </w:pPr>
            <w:r w:rsidRPr="005E20C5">
              <w:t>15 01 0</w:t>
            </w:r>
            <w:r>
              <w:t>2</w:t>
            </w:r>
          </w:p>
        </w:tc>
        <w:tc>
          <w:tcPr>
            <w:tcW w:w="1563" w:type="dxa"/>
            <w:vMerge/>
            <w:vAlign w:val="center"/>
          </w:tcPr>
          <w:p w14:paraId="5E31AFFC" w14:textId="77777777" w:rsidR="00BD1BE5" w:rsidRDefault="00BD1BE5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333936E8" w14:textId="63A87E5C" w:rsidR="00BD1BE5" w:rsidRDefault="008D0752" w:rsidP="00DF54CC">
            <w:pPr>
              <w:pStyle w:val="KMnormal"/>
              <w:ind w:left="0"/>
              <w:jc w:val="center"/>
            </w:pPr>
            <w:r>
              <w:t xml:space="preserve">0, </w:t>
            </w:r>
            <w:r w:rsidR="007231F6">
              <w:t>0</w:t>
            </w:r>
            <w:r w:rsidR="003D7DD3">
              <w:t>5</w:t>
            </w:r>
            <w:r>
              <w:t>0 t</w:t>
            </w:r>
          </w:p>
        </w:tc>
        <w:tc>
          <w:tcPr>
            <w:tcW w:w="1669" w:type="dxa"/>
            <w:vMerge/>
            <w:vAlign w:val="center"/>
          </w:tcPr>
          <w:p w14:paraId="34FC2C63" w14:textId="77777777" w:rsidR="00BD1BE5" w:rsidRDefault="00BD1BE5" w:rsidP="00C97A7A">
            <w:pPr>
              <w:pStyle w:val="KMnormal"/>
              <w:ind w:left="0"/>
              <w:jc w:val="center"/>
            </w:pPr>
          </w:p>
        </w:tc>
      </w:tr>
      <w:tr w:rsidR="008959F1" w14:paraId="65BB2C5F" w14:textId="77777777" w:rsidTr="00A01AA4">
        <w:tc>
          <w:tcPr>
            <w:tcW w:w="776" w:type="dxa"/>
            <w:vMerge w:val="restart"/>
            <w:vAlign w:val="center"/>
          </w:tcPr>
          <w:p w14:paraId="6A9D6687" w14:textId="0D21AEB7" w:rsidR="008959F1" w:rsidRPr="00E3657C" w:rsidRDefault="008959F1" w:rsidP="00DF54CC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E3657C">
              <w:rPr>
                <w:rFonts w:cs="Times New Roman"/>
                <w:szCs w:val="24"/>
                <w:shd w:val="clear" w:color="auto" w:fill="FAF9F8"/>
              </w:rPr>
              <w:t>17 01</w:t>
            </w:r>
          </w:p>
        </w:tc>
        <w:tc>
          <w:tcPr>
            <w:tcW w:w="1323" w:type="dxa"/>
            <w:vMerge w:val="restart"/>
            <w:vAlign w:val="center"/>
          </w:tcPr>
          <w:p w14:paraId="3373292D" w14:textId="753321E3" w:rsidR="008959F1" w:rsidRDefault="008959F1" w:rsidP="00DF54CC">
            <w:pPr>
              <w:pStyle w:val="KMnormal"/>
              <w:ind w:left="0"/>
              <w:jc w:val="center"/>
            </w:pPr>
            <w:r>
              <w:t>Beton, cihly, tašky a keramika</w:t>
            </w:r>
          </w:p>
        </w:tc>
        <w:tc>
          <w:tcPr>
            <w:tcW w:w="1243" w:type="dxa"/>
            <w:vAlign w:val="center"/>
          </w:tcPr>
          <w:p w14:paraId="63FF7EE8" w14:textId="3F190DA2" w:rsidR="008959F1" w:rsidRDefault="008959F1" w:rsidP="00DF54CC">
            <w:pPr>
              <w:pStyle w:val="KMnormal"/>
              <w:ind w:left="0"/>
              <w:jc w:val="center"/>
            </w:pPr>
            <w:r>
              <w:t>17 01 01</w:t>
            </w:r>
            <w:r>
              <w:br/>
              <w:t>Beton</w:t>
            </w:r>
          </w:p>
        </w:tc>
        <w:tc>
          <w:tcPr>
            <w:tcW w:w="1563" w:type="dxa"/>
            <w:vMerge w:val="restart"/>
            <w:vAlign w:val="center"/>
          </w:tcPr>
          <w:p w14:paraId="5BB48922" w14:textId="7A5B136C" w:rsidR="008959F1" w:rsidRDefault="008959F1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37FDCB0C" w14:textId="0B663F7C" w:rsidR="008959F1" w:rsidRDefault="318579E7" w:rsidP="00DF54CC">
            <w:pPr>
              <w:pStyle w:val="KMnormal"/>
              <w:ind w:left="0"/>
              <w:jc w:val="center"/>
            </w:pPr>
            <w:r>
              <w:t>3,75</w:t>
            </w:r>
            <w:r w:rsidR="00CC3328">
              <w:t xml:space="preserve"> t</w:t>
            </w:r>
          </w:p>
        </w:tc>
        <w:tc>
          <w:tcPr>
            <w:tcW w:w="1669" w:type="dxa"/>
            <w:vMerge w:val="restart"/>
            <w:vAlign w:val="center"/>
          </w:tcPr>
          <w:p w14:paraId="1E636234" w14:textId="0DF9F42B" w:rsidR="008959F1" w:rsidRDefault="008959F1" w:rsidP="00C97A7A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8959F1" w14:paraId="51B45D5E" w14:textId="77777777" w:rsidTr="00A01AA4">
        <w:tc>
          <w:tcPr>
            <w:tcW w:w="776" w:type="dxa"/>
            <w:vMerge/>
            <w:vAlign w:val="center"/>
          </w:tcPr>
          <w:p w14:paraId="58A21D4A" w14:textId="54312043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323" w:type="dxa"/>
            <w:vMerge/>
            <w:vAlign w:val="center"/>
          </w:tcPr>
          <w:p w14:paraId="5E4A857C" w14:textId="36336A15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243" w:type="dxa"/>
            <w:vAlign w:val="center"/>
          </w:tcPr>
          <w:p w14:paraId="6BEFCB93" w14:textId="7DDEF17F" w:rsidR="008959F1" w:rsidRDefault="008959F1" w:rsidP="00DF54CC">
            <w:pPr>
              <w:pStyle w:val="KMnormal"/>
              <w:ind w:left="0"/>
              <w:jc w:val="center"/>
            </w:pPr>
            <w:r>
              <w:t>17 01 02</w:t>
            </w:r>
            <w:r>
              <w:br/>
              <w:t>Cihly</w:t>
            </w:r>
          </w:p>
        </w:tc>
        <w:tc>
          <w:tcPr>
            <w:tcW w:w="1563" w:type="dxa"/>
            <w:vMerge/>
            <w:vAlign w:val="center"/>
          </w:tcPr>
          <w:p w14:paraId="6961A4F6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62025432" w14:textId="50E31AB9" w:rsidR="008959F1" w:rsidRDefault="57DC450C" w:rsidP="00DF54CC">
            <w:pPr>
              <w:pStyle w:val="KMnormal"/>
              <w:ind w:left="0"/>
              <w:jc w:val="center"/>
            </w:pPr>
            <w:r>
              <w:t>6,30</w:t>
            </w:r>
            <w:r w:rsidR="00FC7245">
              <w:t xml:space="preserve"> t</w:t>
            </w:r>
          </w:p>
        </w:tc>
        <w:tc>
          <w:tcPr>
            <w:tcW w:w="1669" w:type="dxa"/>
            <w:vMerge/>
            <w:vAlign w:val="center"/>
          </w:tcPr>
          <w:p w14:paraId="0E64F269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</w:tr>
      <w:tr w:rsidR="008959F1" w14:paraId="6406B7D6" w14:textId="77777777" w:rsidTr="00A01AA4">
        <w:trPr>
          <w:cantSplit/>
        </w:trPr>
        <w:tc>
          <w:tcPr>
            <w:tcW w:w="776" w:type="dxa"/>
            <w:vMerge/>
            <w:vAlign w:val="center"/>
          </w:tcPr>
          <w:p w14:paraId="23E1F44C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323" w:type="dxa"/>
            <w:vMerge/>
            <w:vAlign w:val="center"/>
          </w:tcPr>
          <w:p w14:paraId="2E65DEC1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243" w:type="dxa"/>
            <w:vAlign w:val="center"/>
          </w:tcPr>
          <w:p w14:paraId="151F4F1C" w14:textId="1C1A49A3" w:rsidR="008959F1" w:rsidRDefault="008959F1" w:rsidP="00DF54CC">
            <w:pPr>
              <w:pStyle w:val="KMnormal"/>
              <w:ind w:left="0"/>
              <w:jc w:val="center"/>
            </w:pPr>
            <w:r>
              <w:t>17 01 03</w:t>
            </w:r>
            <w:r>
              <w:br/>
              <w:t>Tašky a keramické výrobk</w:t>
            </w:r>
            <w:r w:rsidR="00390E52">
              <w:t>y</w:t>
            </w:r>
          </w:p>
        </w:tc>
        <w:tc>
          <w:tcPr>
            <w:tcW w:w="1563" w:type="dxa"/>
            <w:vMerge/>
            <w:vAlign w:val="center"/>
          </w:tcPr>
          <w:p w14:paraId="6D2A931A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155A338D" w14:textId="71212AE9" w:rsidR="008959F1" w:rsidRDefault="7830B150" w:rsidP="00DF54CC">
            <w:pPr>
              <w:pStyle w:val="KMnormal"/>
              <w:ind w:left="0"/>
              <w:jc w:val="center"/>
            </w:pPr>
            <w:r>
              <w:t>1,60</w:t>
            </w:r>
            <w:r w:rsidR="00DF54CC">
              <w:t xml:space="preserve"> t</w:t>
            </w:r>
          </w:p>
        </w:tc>
        <w:tc>
          <w:tcPr>
            <w:tcW w:w="1669" w:type="dxa"/>
            <w:vMerge/>
            <w:vAlign w:val="center"/>
          </w:tcPr>
          <w:p w14:paraId="4078594D" w14:textId="77777777" w:rsidR="008959F1" w:rsidRDefault="008959F1" w:rsidP="00DF54CC">
            <w:pPr>
              <w:pStyle w:val="KMnormal"/>
              <w:ind w:left="0"/>
              <w:jc w:val="center"/>
            </w:pPr>
          </w:p>
        </w:tc>
      </w:tr>
      <w:tr w:rsidR="00A065E1" w14:paraId="24F35E9B" w14:textId="77777777" w:rsidTr="00A01AA4">
        <w:tc>
          <w:tcPr>
            <w:tcW w:w="776" w:type="dxa"/>
            <w:vMerge w:val="restart"/>
            <w:vAlign w:val="center"/>
          </w:tcPr>
          <w:p w14:paraId="0F6EB3F8" w14:textId="6B85561C" w:rsidR="00E3657C" w:rsidRDefault="00E3657C" w:rsidP="00DF54CC">
            <w:pPr>
              <w:pStyle w:val="KMnormal"/>
              <w:ind w:left="0"/>
              <w:jc w:val="center"/>
            </w:pPr>
            <w:r>
              <w:t>17 02</w:t>
            </w:r>
          </w:p>
        </w:tc>
        <w:tc>
          <w:tcPr>
            <w:tcW w:w="1323" w:type="dxa"/>
            <w:vMerge w:val="restart"/>
            <w:vAlign w:val="center"/>
          </w:tcPr>
          <w:p w14:paraId="24FAFC40" w14:textId="485FFB2A" w:rsidR="00E3657C" w:rsidRDefault="00E3657C" w:rsidP="00DF54CC">
            <w:pPr>
              <w:pStyle w:val="KMnormal"/>
              <w:ind w:left="0"/>
              <w:jc w:val="center"/>
            </w:pPr>
            <w:r>
              <w:t>Dřevo, sklo a plasty</w:t>
            </w:r>
          </w:p>
        </w:tc>
        <w:tc>
          <w:tcPr>
            <w:tcW w:w="1243" w:type="dxa"/>
            <w:vAlign w:val="center"/>
          </w:tcPr>
          <w:p w14:paraId="4BABDDD8" w14:textId="41551D4F" w:rsidR="00E3657C" w:rsidRDefault="00E3657C" w:rsidP="00DF54CC">
            <w:pPr>
              <w:pStyle w:val="KMnormal"/>
              <w:ind w:left="0"/>
              <w:jc w:val="center"/>
            </w:pPr>
            <w:r>
              <w:t>17 02 01</w:t>
            </w:r>
            <w:r>
              <w:br/>
              <w:t>Dřevo</w:t>
            </w:r>
          </w:p>
        </w:tc>
        <w:tc>
          <w:tcPr>
            <w:tcW w:w="1563" w:type="dxa"/>
            <w:vMerge w:val="restart"/>
            <w:vAlign w:val="center"/>
          </w:tcPr>
          <w:p w14:paraId="1B6A82F5" w14:textId="2BF89FFB" w:rsidR="00E3657C" w:rsidRDefault="00E3657C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602EC286" w14:textId="5AD1A49C" w:rsidR="00E3657C" w:rsidRDefault="00CC3328" w:rsidP="00DF54CC">
            <w:pPr>
              <w:pStyle w:val="KMnormal"/>
              <w:ind w:left="0"/>
              <w:jc w:val="center"/>
            </w:pPr>
            <w:r>
              <w:t>0 t</w:t>
            </w:r>
          </w:p>
        </w:tc>
        <w:tc>
          <w:tcPr>
            <w:tcW w:w="1669" w:type="dxa"/>
            <w:vMerge w:val="restart"/>
            <w:vAlign w:val="center"/>
          </w:tcPr>
          <w:p w14:paraId="7CE9807E" w14:textId="5C6F099B" w:rsidR="00E3657C" w:rsidRDefault="00E3657C" w:rsidP="00DF54CC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A065E1" w14:paraId="488B77AF" w14:textId="77777777" w:rsidTr="00A01AA4">
        <w:tc>
          <w:tcPr>
            <w:tcW w:w="776" w:type="dxa"/>
            <w:vMerge/>
            <w:vAlign w:val="center"/>
          </w:tcPr>
          <w:p w14:paraId="27812B77" w14:textId="16C23225" w:rsidR="00E3657C" w:rsidRDefault="00E3657C" w:rsidP="00F84866">
            <w:pPr>
              <w:pStyle w:val="KMnormal"/>
              <w:ind w:left="0"/>
              <w:jc w:val="center"/>
            </w:pPr>
          </w:p>
        </w:tc>
        <w:tc>
          <w:tcPr>
            <w:tcW w:w="1323" w:type="dxa"/>
            <w:vMerge/>
            <w:vAlign w:val="center"/>
          </w:tcPr>
          <w:p w14:paraId="216D2ED4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  <w:tc>
          <w:tcPr>
            <w:tcW w:w="1243" w:type="dxa"/>
            <w:vAlign w:val="center"/>
          </w:tcPr>
          <w:p w14:paraId="74AA3023" w14:textId="671B2379" w:rsidR="00E3657C" w:rsidRDefault="00E3657C" w:rsidP="00DF54CC">
            <w:pPr>
              <w:pStyle w:val="KMnormal"/>
              <w:ind w:left="0"/>
              <w:jc w:val="center"/>
            </w:pPr>
            <w:r>
              <w:t>17 02 02</w:t>
            </w:r>
            <w:r>
              <w:br/>
              <w:t>Sklo</w:t>
            </w:r>
          </w:p>
        </w:tc>
        <w:tc>
          <w:tcPr>
            <w:tcW w:w="1563" w:type="dxa"/>
            <w:vMerge/>
            <w:vAlign w:val="center"/>
          </w:tcPr>
          <w:p w14:paraId="4005A69A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33D52D66" w14:textId="3456CD42" w:rsidR="00E3657C" w:rsidRDefault="00F1386C" w:rsidP="00DF54CC">
            <w:pPr>
              <w:pStyle w:val="KMnormal"/>
              <w:ind w:left="0"/>
              <w:jc w:val="center"/>
            </w:pPr>
            <w:r>
              <w:t>0 t</w:t>
            </w:r>
          </w:p>
        </w:tc>
        <w:tc>
          <w:tcPr>
            <w:tcW w:w="1669" w:type="dxa"/>
            <w:vMerge/>
            <w:vAlign w:val="center"/>
          </w:tcPr>
          <w:p w14:paraId="143B7886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</w:tr>
      <w:tr w:rsidR="00A065E1" w14:paraId="63DE22F2" w14:textId="77777777" w:rsidTr="00A01AA4">
        <w:tc>
          <w:tcPr>
            <w:tcW w:w="776" w:type="dxa"/>
            <w:vMerge/>
            <w:vAlign w:val="center"/>
          </w:tcPr>
          <w:p w14:paraId="297B4799" w14:textId="330A79B4" w:rsidR="00E3657C" w:rsidRDefault="00E3657C" w:rsidP="00F84866">
            <w:pPr>
              <w:pStyle w:val="KMnormal"/>
              <w:ind w:left="0"/>
              <w:jc w:val="center"/>
            </w:pPr>
          </w:p>
        </w:tc>
        <w:tc>
          <w:tcPr>
            <w:tcW w:w="1323" w:type="dxa"/>
            <w:vMerge/>
            <w:vAlign w:val="center"/>
          </w:tcPr>
          <w:p w14:paraId="797675F2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  <w:tc>
          <w:tcPr>
            <w:tcW w:w="1243" w:type="dxa"/>
            <w:vAlign w:val="center"/>
          </w:tcPr>
          <w:p w14:paraId="5097BC0D" w14:textId="11E904B5" w:rsidR="00E3657C" w:rsidRDefault="00E3657C" w:rsidP="00DF54CC">
            <w:pPr>
              <w:pStyle w:val="KMnormal"/>
              <w:ind w:left="0"/>
              <w:jc w:val="center"/>
            </w:pPr>
            <w:r>
              <w:t>17 02 03</w:t>
            </w:r>
            <w:r>
              <w:br/>
              <w:t>Plasty</w:t>
            </w:r>
          </w:p>
        </w:tc>
        <w:tc>
          <w:tcPr>
            <w:tcW w:w="1563" w:type="dxa"/>
            <w:vMerge/>
            <w:vAlign w:val="center"/>
          </w:tcPr>
          <w:p w14:paraId="6816115E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31A52A67" w14:textId="1BCFA0A9" w:rsidR="00E3657C" w:rsidRDefault="009364F4" w:rsidP="00DF54CC">
            <w:pPr>
              <w:pStyle w:val="KMnormal"/>
              <w:ind w:left="0"/>
              <w:jc w:val="center"/>
            </w:pPr>
            <w:r>
              <w:t>0,095</w:t>
            </w:r>
            <w:r w:rsidR="00066742">
              <w:t xml:space="preserve"> t</w:t>
            </w:r>
          </w:p>
        </w:tc>
        <w:tc>
          <w:tcPr>
            <w:tcW w:w="1669" w:type="dxa"/>
            <w:vMerge/>
            <w:vAlign w:val="center"/>
          </w:tcPr>
          <w:p w14:paraId="2858706F" w14:textId="77777777" w:rsidR="00E3657C" w:rsidRDefault="00E3657C" w:rsidP="00DF54CC">
            <w:pPr>
              <w:pStyle w:val="KMnormal"/>
              <w:ind w:left="0"/>
              <w:jc w:val="center"/>
            </w:pPr>
          </w:p>
        </w:tc>
      </w:tr>
      <w:tr w:rsidR="00A065E1" w14:paraId="5942AD4F" w14:textId="77777777" w:rsidTr="00A01AA4">
        <w:tc>
          <w:tcPr>
            <w:tcW w:w="776" w:type="dxa"/>
            <w:vAlign w:val="center"/>
          </w:tcPr>
          <w:p w14:paraId="5BEF88D6" w14:textId="04996FCB" w:rsidR="00E3657C" w:rsidRDefault="00E3657C" w:rsidP="00E3657C">
            <w:pPr>
              <w:pStyle w:val="KMnormal"/>
              <w:ind w:left="0"/>
              <w:jc w:val="center"/>
            </w:pPr>
            <w:r>
              <w:t>17 03</w:t>
            </w:r>
          </w:p>
        </w:tc>
        <w:tc>
          <w:tcPr>
            <w:tcW w:w="1323" w:type="dxa"/>
            <w:vAlign w:val="center"/>
          </w:tcPr>
          <w:p w14:paraId="0F615B4D" w14:textId="1EA0D02D" w:rsidR="00E3657C" w:rsidRDefault="00E3657C" w:rsidP="00DF54CC">
            <w:pPr>
              <w:pStyle w:val="KMnormal"/>
              <w:ind w:left="0"/>
              <w:jc w:val="center"/>
            </w:pPr>
            <w:r>
              <w:t>Asfaltové směsi, dehet a výrobky z dehtu</w:t>
            </w:r>
          </w:p>
        </w:tc>
        <w:tc>
          <w:tcPr>
            <w:tcW w:w="1243" w:type="dxa"/>
            <w:vAlign w:val="center"/>
          </w:tcPr>
          <w:p w14:paraId="24F85F7B" w14:textId="7E8EA819" w:rsidR="00E3657C" w:rsidRDefault="00E3657C" w:rsidP="00DF54CC">
            <w:pPr>
              <w:pStyle w:val="KMnormal"/>
              <w:ind w:left="0"/>
              <w:jc w:val="center"/>
            </w:pPr>
            <w:r>
              <w:t>17 03 02</w:t>
            </w:r>
            <w:r>
              <w:br/>
              <w:t xml:space="preserve">Asfaltové směsi </w:t>
            </w:r>
          </w:p>
        </w:tc>
        <w:tc>
          <w:tcPr>
            <w:tcW w:w="1563" w:type="dxa"/>
            <w:vAlign w:val="center"/>
          </w:tcPr>
          <w:p w14:paraId="6773C899" w14:textId="08CB3DBF" w:rsidR="00E3657C" w:rsidRDefault="00E3657C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5FE38A65" w14:textId="47CB9723" w:rsidR="00E3657C" w:rsidRDefault="00CC3328" w:rsidP="00DF54CC">
            <w:pPr>
              <w:pStyle w:val="KMnormal"/>
              <w:ind w:left="0"/>
              <w:jc w:val="center"/>
            </w:pPr>
            <w:r>
              <w:t>0 t</w:t>
            </w:r>
          </w:p>
        </w:tc>
        <w:tc>
          <w:tcPr>
            <w:tcW w:w="1669" w:type="dxa"/>
            <w:vAlign w:val="center"/>
          </w:tcPr>
          <w:p w14:paraId="3741255A" w14:textId="54168F73" w:rsidR="00E3657C" w:rsidRDefault="00E3657C" w:rsidP="00DF54CC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DC431B" w14:paraId="13963A32" w14:textId="77777777" w:rsidTr="00A01AA4">
        <w:trPr>
          <w:trHeight w:val="620"/>
        </w:trPr>
        <w:tc>
          <w:tcPr>
            <w:tcW w:w="776" w:type="dxa"/>
            <w:vMerge w:val="restart"/>
            <w:vAlign w:val="center"/>
          </w:tcPr>
          <w:p w14:paraId="63FCCBE9" w14:textId="3527BA72" w:rsidR="00DC431B" w:rsidRDefault="00DC431B" w:rsidP="00E3657C">
            <w:pPr>
              <w:pStyle w:val="KMnormal"/>
              <w:ind w:left="0"/>
              <w:jc w:val="center"/>
            </w:pPr>
            <w:r>
              <w:t>17 04</w:t>
            </w:r>
          </w:p>
        </w:tc>
        <w:tc>
          <w:tcPr>
            <w:tcW w:w="1323" w:type="dxa"/>
            <w:vMerge w:val="restart"/>
            <w:vAlign w:val="center"/>
          </w:tcPr>
          <w:p w14:paraId="74279025" w14:textId="05D45C3C" w:rsidR="00DC431B" w:rsidRDefault="00DC431B" w:rsidP="00DF54CC">
            <w:pPr>
              <w:pStyle w:val="KMnormal"/>
              <w:ind w:left="0"/>
              <w:jc w:val="center"/>
            </w:pPr>
            <w:r>
              <w:t>Kovy</w:t>
            </w:r>
          </w:p>
        </w:tc>
        <w:tc>
          <w:tcPr>
            <w:tcW w:w="1243" w:type="dxa"/>
            <w:vAlign w:val="center"/>
          </w:tcPr>
          <w:p w14:paraId="2CD1C7DD" w14:textId="3DF2EB6A" w:rsidR="00DC431B" w:rsidRDefault="00DC431B" w:rsidP="00DF54CC">
            <w:pPr>
              <w:pStyle w:val="KMnormal"/>
              <w:ind w:left="0"/>
              <w:jc w:val="center"/>
            </w:pPr>
            <w:r>
              <w:t>17 04 05</w:t>
            </w:r>
            <w:r>
              <w:br/>
              <w:t>Železo a ocel</w:t>
            </w:r>
          </w:p>
        </w:tc>
        <w:tc>
          <w:tcPr>
            <w:tcW w:w="1563" w:type="dxa"/>
            <w:vMerge w:val="restart"/>
            <w:vAlign w:val="center"/>
          </w:tcPr>
          <w:p w14:paraId="06ED3CD6" w14:textId="0994CC88" w:rsidR="00DC431B" w:rsidRDefault="00DC431B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56437F29" w14:textId="3D5D36F8" w:rsidR="00DC431B" w:rsidRDefault="009364F4" w:rsidP="00DF54CC">
            <w:pPr>
              <w:pStyle w:val="KMnormal"/>
              <w:ind w:left="0"/>
              <w:jc w:val="center"/>
            </w:pPr>
            <w:r>
              <w:t>3,</w:t>
            </w:r>
            <w:r w:rsidR="005A5861">
              <w:t>150</w:t>
            </w:r>
            <w:r w:rsidR="00DC431B">
              <w:t xml:space="preserve"> t</w:t>
            </w:r>
          </w:p>
        </w:tc>
        <w:tc>
          <w:tcPr>
            <w:tcW w:w="1669" w:type="dxa"/>
            <w:vMerge w:val="restart"/>
            <w:vAlign w:val="center"/>
          </w:tcPr>
          <w:p w14:paraId="7672222E" w14:textId="738D963E" w:rsidR="00DC431B" w:rsidRDefault="00DC431B" w:rsidP="00DF54CC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DC431B" w14:paraId="4C5D37D4" w14:textId="77777777" w:rsidTr="00A01AA4">
        <w:trPr>
          <w:trHeight w:val="619"/>
        </w:trPr>
        <w:tc>
          <w:tcPr>
            <w:tcW w:w="776" w:type="dxa"/>
            <w:vMerge/>
            <w:vAlign w:val="center"/>
          </w:tcPr>
          <w:p w14:paraId="0C01EED7" w14:textId="77777777" w:rsidR="00DC431B" w:rsidRDefault="00DC431B" w:rsidP="00E3657C">
            <w:pPr>
              <w:pStyle w:val="KMnormal"/>
              <w:ind w:left="0"/>
              <w:jc w:val="center"/>
            </w:pPr>
          </w:p>
        </w:tc>
        <w:tc>
          <w:tcPr>
            <w:tcW w:w="1323" w:type="dxa"/>
            <w:vMerge/>
            <w:vAlign w:val="center"/>
          </w:tcPr>
          <w:p w14:paraId="413464E1" w14:textId="77777777" w:rsidR="00DC431B" w:rsidRDefault="00DC431B" w:rsidP="00DF54CC">
            <w:pPr>
              <w:pStyle w:val="KMnormal"/>
              <w:ind w:left="0"/>
              <w:jc w:val="center"/>
            </w:pPr>
          </w:p>
        </w:tc>
        <w:tc>
          <w:tcPr>
            <w:tcW w:w="1243" w:type="dxa"/>
            <w:vAlign w:val="center"/>
          </w:tcPr>
          <w:p w14:paraId="120EDD1D" w14:textId="3808E151" w:rsidR="00DC431B" w:rsidRDefault="00DC431B" w:rsidP="00DF54CC">
            <w:pPr>
              <w:pStyle w:val="KMnormal"/>
              <w:ind w:left="0"/>
              <w:jc w:val="center"/>
            </w:pPr>
            <w:r>
              <w:t xml:space="preserve">17 04 </w:t>
            </w:r>
            <w:r w:rsidR="00B97A55">
              <w:t>11 kabely</w:t>
            </w:r>
          </w:p>
        </w:tc>
        <w:tc>
          <w:tcPr>
            <w:tcW w:w="1563" w:type="dxa"/>
            <w:vMerge/>
            <w:vAlign w:val="center"/>
          </w:tcPr>
          <w:p w14:paraId="5F455F0D" w14:textId="77777777" w:rsidR="00DC431B" w:rsidRDefault="00DC431B" w:rsidP="00DF54CC">
            <w:pPr>
              <w:pStyle w:val="KMnormal"/>
              <w:ind w:left="0"/>
              <w:jc w:val="center"/>
            </w:pPr>
          </w:p>
        </w:tc>
        <w:tc>
          <w:tcPr>
            <w:tcW w:w="1643" w:type="dxa"/>
            <w:vAlign w:val="center"/>
          </w:tcPr>
          <w:p w14:paraId="035C5470" w14:textId="393D3F22" w:rsidR="00DC431B" w:rsidRDefault="00B97A55" w:rsidP="00DF54CC">
            <w:pPr>
              <w:pStyle w:val="KMnormal"/>
              <w:ind w:left="0"/>
              <w:jc w:val="center"/>
            </w:pPr>
            <w:r>
              <w:t>0, 050 t</w:t>
            </w:r>
          </w:p>
        </w:tc>
        <w:tc>
          <w:tcPr>
            <w:tcW w:w="1669" w:type="dxa"/>
            <w:vMerge/>
            <w:vAlign w:val="center"/>
          </w:tcPr>
          <w:p w14:paraId="081FF095" w14:textId="77777777" w:rsidR="00DC431B" w:rsidRDefault="00DC431B" w:rsidP="00DF54CC">
            <w:pPr>
              <w:pStyle w:val="KMnormal"/>
              <w:ind w:left="0"/>
              <w:jc w:val="center"/>
            </w:pPr>
          </w:p>
        </w:tc>
      </w:tr>
      <w:tr w:rsidR="00A065E1" w14:paraId="761EB695" w14:textId="77777777" w:rsidTr="00A01AA4">
        <w:tc>
          <w:tcPr>
            <w:tcW w:w="776" w:type="dxa"/>
            <w:vAlign w:val="center"/>
          </w:tcPr>
          <w:p w14:paraId="65E2ECF5" w14:textId="7EE0B6A3" w:rsidR="00A065E1" w:rsidRDefault="00A065E1" w:rsidP="00E3657C">
            <w:pPr>
              <w:pStyle w:val="KMnormal"/>
              <w:ind w:left="0"/>
              <w:jc w:val="center"/>
            </w:pPr>
            <w:r>
              <w:t>17 05</w:t>
            </w:r>
          </w:p>
        </w:tc>
        <w:tc>
          <w:tcPr>
            <w:tcW w:w="1323" w:type="dxa"/>
            <w:vAlign w:val="center"/>
          </w:tcPr>
          <w:p w14:paraId="4DA95B61" w14:textId="34C6A12B" w:rsidR="00A065E1" w:rsidRDefault="00A065E1" w:rsidP="00DF54CC">
            <w:pPr>
              <w:pStyle w:val="KMnormal"/>
              <w:ind w:left="0"/>
              <w:jc w:val="center"/>
            </w:pPr>
            <w:r>
              <w:t>Zemina</w:t>
            </w:r>
          </w:p>
        </w:tc>
        <w:tc>
          <w:tcPr>
            <w:tcW w:w="1243" w:type="dxa"/>
            <w:vAlign w:val="center"/>
          </w:tcPr>
          <w:p w14:paraId="7523730C" w14:textId="4723F99D" w:rsidR="00A065E1" w:rsidRDefault="00A065E1" w:rsidP="00DF54CC">
            <w:pPr>
              <w:pStyle w:val="KMnormal"/>
              <w:ind w:left="0"/>
              <w:jc w:val="center"/>
            </w:pPr>
            <w:r>
              <w:t>17 05 04</w:t>
            </w:r>
            <w:r>
              <w:br/>
              <w:t>Zemina a kamení neuveden pod číslem 17 05 03</w:t>
            </w:r>
          </w:p>
        </w:tc>
        <w:tc>
          <w:tcPr>
            <w:tcW w:w="1563" w:type="dxa"/>
            <w:vAlign w:val="center"/>
          </w:tcPr>
          <w:p w14:paraId="6C019941" w14:textId="4BDD989E" w:rsidR="00A065E1" w:rsidRDefault="00A065E1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1461433C" w14:textId="4387E03F" w:rsidR="00A065E1" w:rsidRDefault="005A5861" w:rsidP="00DF54CC">
            <w:pPr>
              <w:pStyle w:val="KMnormal"/>
              <w:ind w:left="0"/>
              <w:jc w:val="center"/>
            </w:pPr>
            <w:r>
              <w:t>0</w:t>
            </w:r>
            <w:r w:rsidR="00A065E1">
              <w:t xml:space="preserve"> t</w:t>
            </w:r>
          </w:p>
        </w:tc>
        <w:tc>
          <w:tcPr>
            <w:tcW w:w="1669" w:type="dxa"/>
            <w:vAlign w:val="center"/>
          </w:tcPr>
          <w:p w14:paraId="725D0892" w14:textId="00EDEA1C" w:rsidR="00A065E1" w:rsidRDefault="00A065E1" w:rsidP="00DF54CC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  <w:tr w:rsidR="00A065E1" w14:paraId="139E4948" w14:textId="77777777" w:rsidTr="00A01AA4">
        <w:tc>
          <w:tcPr>
            <w:tcW w:w="776" w:type="dxa"/>
            <w:vAlign w:val="center"/>
          </w:tcPr>
          <w:p w14:paraId="0742FAE2" w14:textId="081F4997" w:rsidR="00E3657C" w:rsidRDefault="00595817" w:rsidP="00E3657C">
            <w:pPr>
              <w:pStyle w:val="KMnormal"/>
              <w:ind w:left="0"/>
              <w:jc w:val="center"/>
            </w:pPr>
            <w:r>
              <w:t>17 08</w:t>
            </w:r>
          </w:p>
        </w:tc>
        <w:tc>
          <w:tcPr>
            <w:tcW w:w="1323" w:type="dxa"/>
            <w:vAlign w:val="center"/>
          </w:tcPr>
          <w:p w14:paraId="2F9F6693" w14:textId="116A11F1" w:rsidR="00E3657C" w:rsidRDefault="00595817" w:rsidP="00DF54CC">
            <w:pPr>
              <w:pStyle w:val="KMnormal"/>
              <w:ind w:left="0"/>
              <w:jc w:val="center"/>
            </w:pPr>
            <w:r>
              <w:t>Stavební materiály na bázi sádry</w:t>
            </w:r>
          </w:p>
        </w:tc>
        <w:tc>
          <w:tcPr>
            <w:tcW w:w="1243" w:type="dxa"/>
            <w:vAlign w:val="center"/>
          </w:tcPr>
          <w:p w14:paraId="112EF145" w14:textId="4AB97E6D" w:rsidR="00E3657C" w:rsidRDefault="00595817" w:rsidP="00DF54CC">
            <w:pPr>
              <w:pStyle w:val="KMnormal"/>
              <w:ind w:left="0"/>
              <w:jc w:val="center"/>
            </w:pPr>
            <w:r>
              <w:t xml:space="preserve">17 08 02 </w:t>
            </w:r>
            <w:r>
              <w:br/>
              <w:t>Stavební materiály na bázi sádry neuvedené v 17 08 01</w:t>
            </w:r>
          </w:p>
        </w:tc>
        <w:tc>
          <w:tcPr>
            <w:tcW w:w="1563" w:type="dxa"/>
            <w:vAlign w:val="center"/>
          </w:tcPr>
          <w:p w14:paraId="50EA8BB4" w14:textId="1FDD1F34" w:rsidR="00E3657C" w:rsidRDefault="00595817" w:rsidP="00DF54CC">
            <w:pPr>
              <w:pStyle w:val="KMnormal"/>
              <w:ind w:left="0"/>
              <w:jc w:val="center"/>
            </w:pPr>
            <w:r>
              <w:t>Stavební činnost</w:t>
            </w:r>
          </w:p>
        </w:tc>
        <w:tc>
          <w:tcPr>
            <w:tcW w:w="1643" w:type="dxa"/>
            <w:vAlign w:val="center"/>
          </w:tcPr>
          <w:p w14:paraId="50FE559A" w14:textId="1F1C4D85" w:rsidR="00E3657C" w:rsidRDefault="003C732C" w:rsidP="00DF54CC">
            <w:pPr>
              <w:pStyle w:val="KMnormal"/>
              <w:ind w:left="0"/>
              <w:jc w:val="center"/>
            </w:pPr>
            <w:r>
              <w:t xml:space="preserve">0, </w:t>
            </w:r>
            <w:r w:rsidR="005A5861">
              <w:t>110</w:t>
            </w:r>
            <w:r>
              <w:t xml:space="preserve"> t</w:t>
            </w:r>
          </w:p>
        </w:tc>
        <w:tc>
          <w:tcPr>
            <w:tcW w:w="1669" w:type="dxa"/>
            <w:vAlign w:val="center"/>
          </w:tcPr>
          <w:p w14:paraId="4826CD49" w14:textId="48725398" w:rsidR="00E3657C" w:rsidRDefault="00595817" w:rsidP="00DF54CC">
            <w:pPr>
              <w:pStyle w:val="KMnormal"/>
              <w:ind w:left="0"/>
              <w:jc w:val="center"/>
            </w:pPr>
            <w:r>
              <w:t>Odvoz a uložení na skládku</w:t>
            </w:r>
          </w:p>
        </w:tc>
      </w:tr>
    </w:tbl>
    <w:p w14:paraId="51E2B7EC" w14:textId="77777777" w:rsidR="00A01AA4" w:rsidRDefault="00A01AA4" w:rsidP="00A01AA4">
      <w:pPr>
        <w:pStyle w:val="KMnadpis3"/>
        <w:ind w:left="1919"/>
      </w:pPr>
      <w:bookmarkStart w:id="98" w:name="_Toc137721402"/>
      <w:bookmarkEnd w:id="97"/>
    </w:p>
    <w:p w14:paraId="59C7F93F" w14:textId="67B1B8FC" w:rsidR="00A01AA4" w:rsidRDefault="00A01AA4">
      <w:pPr>
        <w:spacing w:after="0" w:line="240" w:lineRule="auto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</w:rPr>
      </w:pPr>
      <w:r>
        <w:br w:type="page"/>
      </w:r>
    </w:p>
    <w:p w14:paraId="1E48A8B1" w14:textId="01B6B846" w:rsidR="00E24D80" w:rsidRDefault="000A3AC9">
      <w:pPr>
        <w:pStyle w:val="KMnadpis3"/>
        <w:numPr>
          <w:ilvl w:val="0"/>
          <w:numId w:val="12"/>
        </w:numPr>
      </w:pPr>
      <w:r>
        <w:lastRenderedPageBreak/>
        <w:t>Bilance zemních prací, požadavky na přísun nebo deponie zemin:</w:t>
      </w:r>
      <w:bookmarkEnd w:id="98"/>
    </w:p>
    <w:p w14:paraId="1E48A8B2" w14:textId="69F9EE3E" w:rsidR="00E24D80" w:rsidRDefault="00BF3A26">
      <w:pPr>
        <w:pStyle w:val="KMnormal"/>
      </w:pPr>
      <w:r>
        <w:t xml:space="preserve">Nebudou provedeny zemní práce. </w:t>
      </w:r>
      <w:r w:rsidR="000A3AC9">
        <w:t>S deponií není v rámci staveniště uvažováno</w:t>
      </w:r>
      <w:r>
        <w:t>.</w:t>
      </w:r>
    </w:p>
    <w:p w14:paraId="1E48A8B3" w14:textId="10DC432E" w:rsidR="00E24D80" w:rsidRDefault="000A3AC9">
      <w:pPr>
        <w:pStyle w:val="KMnadpis3"/>
        <w:numPr>
          <w:ilvl w:val="0"/>
          <w:numId w:val="12"/>
        </w:numPr>
      </w:pPr>
      <w:bookmarkStart w:id="99" w:name="_Toc137721403"/>
      <w:r>
        <w:t>Ochrana životního prostředí při výstavbě:</w:t>
      </w:r>
      <w:bookmarkEnd w:id="99"/>
    </w:p>
    <w:p w14:paraId="19EC1611" w14:textId="77777777" w:rsidR="00961AD4" w:rsidRPr="002F0DB6" w:rsidRDefault="00961AD4" w:rsidP="00961AD4">
      <w:pPr>
        <w:pStyle w:val="KMnormal"/>
        <w:jc w:val="both"/>
      </w:pPr>
      <w:r w:rsidRPr="002F0DB6">
        <w:t xml:space="preserve">Po dobu provádění stavby nesmí být okolní prostor ovlivňován nadměrným hlukem, vibracemi a otřesy nad mez stanovenou v nařízení č. 272/2011 Sb., Nařízení vlády o ochraně zdraví před nepříznivými účinky hluku a vibrací, částka 97, ze dne 23.09.2011. </w:t>
      </w:r>
    </w:p>
    <w:p w14:paraId="111743CD" w14:textId="77777777" w:rsidR="00961AD4" w:rsidRPr="002F0DB6" w:rsidRDefault="00961AD4" w:rsidP="00961AD4">
      <w:pPr>
        <w:pStyle w:val="KMnormal"/>
        <w:jc w:val="both"/>
      </w:pPr>
      <w:r w:rsidRPr="002F0DB6">
        <w:t>Nepříznivé důsledky stavební činnosti budou eliminovány realizací souboru opatření:</w:t>
      </w:r>
    </w:p>
    <w:p w14:paraId="4490B6BC" w14:textId="77777777" w:rsidR="00961AD4" w:rsidRPr="002F0DB6" w:rsidRDefault="00961AD4" w:rsidP="00961AD4">
      <w:pPr>
        <w:pStyle w:val="KMnormal"/>
        <w:numPr>
          <w:ilvl w:val="0"/>
          <w:numId w:val="15"/>
        </w:numPr>
        <w:suppressAutoHyphens w:val="0"/>
        <w:jc w:val="both"/>
      </w:pPr>
      <w:r w:rsidRPr="002F0DB6">
        <w:t>Časové omezení stavební činnosti: Hlučné práce při realizaci díla je možné provádět: od 8:00 do 13:30 a od 14:00 do 18:00</w:t>
      </w:r>
    </w:p>
    <w:p w14:paraId="6D0A0656" w14:textId="7EBF2B07" w:rsidR="00961AD4" w:rsidRDefault="00961AD4" w:rsidP="00961AD4">
      <w:pPr>
        <w:pStyle w:val="KMnormal"/>
        <w:numPr>
          <w:ilvl w:val="0"/>
          <w:numId w:val="15"/>
        </w:numPr>
        <w:suppressAutoHyphens w:val="0"/>
        <w:jc w:val="both"/>
      </w:pPr>
      <w:r w:rsidRPr="002F0DB6">
        <w:t>Strojní mechanizace bude užita typů a parametrů s garantovanou nižší vyzařovanou hlučností</w:t>
      </w:r>
    </w:p>
    <w:p w14:paraId="1E48A8B8" w14:textId="77777777" w:rsidR="00E24D80" w:rsidRDefault="000A3AC9">
      <w:pPr>
        <w:pStyle w:val="KMnadpis3"/>
        <w:numPr>
          <w:ilvl w:val="0"/>
          <w:numId w:val="12"/>
        </w:numPr>
      </w:pPr>
      <w:bookmarkStart w:id="100" w:name="_Toc137721404"/>
      <w:r>
        <w:t>Zásady bezpečnosti a ochrany zdraví při práci na staveništi:</w:t>
      </w:r>
      <w:bookmarkEnd w:id="100"/>
    </w:p>
    <w:p w14:paraId="1E48A8B9" w14:textId="4E5F1345" w:rsidR="00E24D80" w:rsidRDefault="00961AD4" w:rsidP="00961AD4">
      <w:pPr>
        <w:pStyle w:val="KMnormal"/>
        <w:jc w:val="both"/>
      </w:pPr>
      <w:r>
        <w:t xml:space="preserve">Při zajišťování stavebních prací budou všechny osoby, které vstupují na staveniště, vybaveny osobnímu ochrannými pracovními prostředky v souladu s možným ohrožením, která pro tyto osoby z provádění stavebních prací vyplývají. Dodavatel stavebních prací musí v rámci své dodavatelské dokumentace vytvořit podmínky k zajištění bezpečnosti práce. Odpovědný pracovník určí nezbytná opatření k zjištění bezpečnosti práce před započetím jednotlivých prací. V zásadě se nebude jednat o stavební práce v mimořádných podmínkách. V případě, že by se v průběhu stavebních prací vyskytly mimořádné podmínky, určí dodavatel stavebních prací potřebná opatření k zajištění bezpečnosti práce. S určenými opatřeními musí dodavatel stavebních prací obeznámit pracovníky, kterých se tato opatření týkají. Dodavatel stavebních prací je povinen pracovníky, kteří stavební práce řídí, provádějí a kontrolují, vyškolit z předpisů k zajištění bezpečnosti práce a technických zařízení, popřípadě prakticky zaučit, a to v rozsahu potřebném pro výkon jejich práce a ověřovat jejich znalost v pravidelných intervalech. Veškerá stavební činnost musí být řízena a prováděna v souladu s příslušnými normami a předpisy. Pro zajištění bezpečnosti práce v průběhu realizace stavby je třeba respektovat ustanovení závazných předpisů a nařízení, zejména pak: Zákoník práce, Zákon č. 309/2006 Sb., zákon o zajištění dalších podmínek bezpečnosti a ochrany zdraví při práci, kterým se upravují další požadavky bezpečnosti a ochrany zdraví při práci v pracovněprávních vztazích a o zajištění bezpečnosti a ochrany zdraví při činnosti nebo poskytování služeb mimo pracovněprávní vztahy, NV č. 591/2006 Sb., o bližších minimálních požadavcích na bezpečnost a ochranu zdraví při práci na staveništích, NV č. 362/2005 Sb., o bližších požadavcích na bezpečnost a ochranu zdraví při práci na pracovišti s nebezpečím pádu z výšky nebo do hloubky, NV č. 101/2005 Sb., o podrobnějších požadavcích na pracoviště a pracovní prostředí, NV č. 378/2001 Sb., kterým se stanoví bližší požadavky na bezpečný provoz a používání strojů, technických zařízení, </w:t>
      </w:r>
      <w:r>
        <w:lastRenderedPageBreak/>
        <w:t>přístrojů a nářadí, NV č. 168/2002 Sb., kterým se stanoví způsob organizace práce a pracovních postupů, které je zaměstnavatel povinen zajistit při provozování dopravy dopravními prostředky, NV č. 361/2007 Sb., kterým se stanoví podmínky ochrany zdraví zaměstnanců při práci, NV č. 21/2003 Sb., kterým se stanoví technické požadavky na osobní ochranné prostředky, NV č. 495/2001 Sb., kterým se stanoví rozsah a bližší podmínky poskytování osobních ochranných pracovních prostředků, mycích, čistících a dezinfekčních prostředků, Dále je nutno dodržovat projektovou dokumentaci, odchylky od ní nebo od stavu předpokládaného v dokumentaci je nutno konzultovat s projektantem</w:t>
      </w:r>
      <w:r w:rsidR="009B61DC" w:rsidRPr="009B61DC">
        <w:t>.</w:t>
      </w:r>
    </w:p>
    <w:p w14:paraId="1E48A8BA" w14:textId="77777777" w:rsidR="00E24D80" w:rsidRDefault="000A3AC9">
      <w:pPr>
        <w:pStyle w:val="KMnadpis3"/>
        <w:numPr>
          <w:ilvl w:val="0"/>
          <w:numId w:val="12"/>
        </w:numPr>
      </w:pPr>
      <w:bookmarkStart w:id="101" w:name="_Toc137721405"/>
      <w:r>
        <w:t>Úpravy pro bezbariérové užívání výstavbou dotčených staveb:</w:t>
      </w:r>
      <w:bookmarkEnd w:id="101"/>
    </w:p>
    <w:p w14:paraId="1E48A8BB" w14:textId="77777777" w:rsidR="00E24D80" w:rsidRDefault="000A3AC9" w:rsidP="00961AD4">
      <w:pPr>
        <w:pStyle w:val="KMnormal"/>
        <w:jc w:val="both"/>
      </w:pPr>
      <w:r>
        <w:t>Nejsou navržena žádná, je ovšem nutné zajistit přístup do objektu bez ohrožení veřejnosti.</w:t>
      </w:r>
    </w:p>
    <w:p w14:paraId="1E48A8BC" w14:textId="77777777" w:rsidR="00E24D80" w:rsidRDefault="000A3AC9">
      <w:pPr>
        <w:pStyle w:val="KMnadpis3"/>
        <w:numPr>
          <w:ilvl w:val="0"/>
          <w:numId w:val="12"/>
        </w:numPr>
      </w:pPr>
      <w:bookmarkStart w:id="102" w:name="_Toc137721406"/>
      <w:r>
        <w:t>Zásady pro dopravní inženýrská opatření:</w:t>
      </w:r>
      <w:bookmarkEnd w:id="102"/>
    </w:p>
    <w:p w14:paraId="1E48A8BD" w14:textId="6E135DE6" w:rsidR="00E24D80" w:rsidRDefault="00961AD4" w:rsidP="00961AD4">
      <w:pPr>
        <w:pStyle w:val="KMnormal"/>
        <w:jc w:val="both"/>
      </w:pPr>
      <w:r>
        <w:t>Při zásobování staveniště bude respektován provoz veřejné dopravy a chodců. Stavbou nebudou vznikat žádná dopravně inženýrská opatření</w:t>
      </w:r>
      <w:r w:rsidR="000A3AC9">
        <w:t>.</w:t>
      </w:r>
    </w:p>
    <w:p w14:paraId="1E48A8BE" w14:textId="77777777" w:rsidR="00E24D80" w:rsidRDefault="000A3AC9">
      <w:pPr>
        <w:pStyle w:val="KMnadpis3"/>
        <w:numPr>
          <w:ilvl w:val="0"/>
          <w:numId w:val="12"/>
        </w:numPr>
      </w:pPr>
      <w:bookmarkStart w:id="103" w:name="_Toc137721407"/>
      <w:r>
        <w:t>Stanovení speciálních podmínek pro provádění stavby – provádění stavby za provozu, opatření proti účinkům vnějšího prostředí při výstavbě apod.:</w:t>
      </w:r>
      <w:bookmarkEnd w:id="103"/>
    </w:p>
    <w:p w14:paraId="1E48A8BF" w14:textId="77777777" w:rsidR="00E24D80" w:rsidRDefault="000A3AC9">
      <w:pPr>
        <w:pStyle w:val="KMnormal"/>
      </w:pPr>
      <w:r>
        <w:t>Bez stanovení speciálních podmínek.</w:t>
      </w:r>
    </w:p>
    <w:p w14:paraId="1E48A8C0" w14:textId="77777777" w:rsidR="00E24D80" w:rsidRDefault="000A3AC9">
      <w:pPr>
        <w:pStyle w:val="KMnadpis3"/>
        <w:numPr>
          <w:ilvl w:val="0"/>
          <w:numId w:val="12"/>
        </w:numPr>
      </w:pPr>
      <w:bookmarkStart w:id="104" w:name="_Toc137721408"/>
      <w:r>
        <w:t>Postup výstavby, rozhodující dílčí termíny:</w:t>
      </w:r>
      <w:bookmarkEnd w:id="104"/>
    </w:p>
    <w:p w14:paraId="1E48A8C1" w14:textId="56DED96A" w:rsidR="00E24D80" w:rsidRDefault="000A3AC9">
      <w:pPr>
        <w:pStyle w:val="KMnormal"/>
      </w:pPr>
      <w:r>
        <w:t>Realizace se předpokládá v rozmezí let 202</w:t>
      </w:r>
      <w:r w:rsidR="00961AD4">
        <w:t>3</w:t>
      </w:r>
      <w:r>
        <w:t xml:space="preserve"> a 202</w:t>
      </w:r>
      <w:r w:rsidR="00961AD4">
        <w:t>4. Rekonstrukce bude probíhat v jedné etapě.</w:t>
      </w:r>
    </w:p>
    <w:p w14:paraId="1E48A8C2" w14:textId="77777777" w:rsidR="00E24D80" w:rsidRDefault="000A3AC9">
      <w:pPr>
        <w:pStyle w:val="KMnadpis1"/>
        <w:numPr>
          <w:ilvl w:val="0"/>
          <w:numId w:val="2"/>
        </w:numPr>
      </w:pPr>
      <w:bookmarkStart w:id="105" w:name="_Toc137721409"/>
      <w:bookmarkStart w:id="106" w:name="_Toc137723581"/>
      <w:r>
        <w:t>Celkové vodohospodářské řešení</w:t>
      </w:r>
      <w:bookmarkEnd w:id="105"/>
      <w:bookmarkEnd w:id="106"/>
    </w:p>
    <w:p w14:paraId="1E48A8C6" w14:textId="51A357C3" w:rsidR="00E24D80" w:rsidRDefault="009B61DC">
      <w:pPr>
        <w:pStyle w:val="KMnormal"/>
        <w:ind w:left="708"/>
      </w:pPr>
      <w:r>
        <w:t>Vodohospodářské řešení není součástí projektu.</w:t>
      </w:r>
    </w:p>
    <w:sectPr w:rsidR="00E24D80">
      <w:headerReference w:type="default" r:id="rId8"/>
      <w:footerReference w:type="default" r:id="rId9"/>
      <w:pgSz w:w="11906" w:h="16838"/>
      <w:pgMar w:top="1417" w:right="1274" w:bottom="1417" w:left="1417" w:header="283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FA14" w14:textId="77777777" w:rsidR="00E50343" w:rsidRDefault="00E50343">
      <w:pPr>
        <w:spacing w:after="0" w:line="240" w:lineRule="auto"/>
      </w:pPr>
      <w:r>
        <w:separator/>
      </w:r>
    </w:p>
  </w:endnote>
  <w:endnote w:type="continuationSeparator" w:id="0">
    <w:p w14:paraId="2A3B6F7E" w14:textId="77777777" w:rsidR="00E50343" w:rsidRDefault="00E50343">
      <w:pPr>
        <w:spacing w:after="0" w:line="240" w:lineRule="auto"/>
      </w:pPr>
      <w:r>
        <w:continuationSeparator/>
      </w:r>
    </w:p>
  </w:endnote>
  <w:endnote w:type="continuationNotice" w:id="1">
    <w:p w14:paraId="04C59D53" w14:textId="77777777" w:rsidR="00E50343" w:rsidRDefault="00E503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A8D3" w14:textId="77777777" w:rsidR="00E24D80" w:rsidRDefault="000A3AC9">
    <w:pPr>
      <w:pStyle w:val="Zpat"/>
      <w:jc w:val="right"/>
    </w:pPr>
    <w:r>
      <w:t xml:space="preserve">strana </w:t>
    </w:r>
    <w:r>
      <w:fldChar w:fldCharType="begin"/>
    </w:r>
    <w:r>
      <w:instrText>PAGE \* ARABIC</w:instrText>
    </w:r>
    <w:r>
      <w:fldChar w:fldCharType="separate"/>
    </w:r>
    <w:r>
      <w:t>15</w:t>
    </w:r>
    <w:r>
      <w:fldChar w:fldCharType="end"/>
    </w:r>
    <w:r>
      <w:t xml:space="preserve"> z </w:t>
    </w:r>
    <w:r>
      <w:fldChar w:fldCharType="begin"/>
    </w:r>
    <w:r>
      <w:instrText>NUMPAGES \* ARABIC</w:instrText>
    </w:r>
    <w:r>
      <w:fldChar w:fldCharType="separate"/>
    </w:r>
    <w:r>
      <w:t>15</w:t>
    </w:r>
    <w:r>
      <w:fldChar w:fldCharType="end"/>
    </w:r>
  </w:p>
  <w:p w14:paraId="1E48A8D4" w14:textId="77777777" w:rsidR="00E24D80" w:rsidRDefault="00E24D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03AD6" w14:textId="77777777" w:rsidR="00E50343" w:rsidRDefault="00E50343">
      <w:pPr>
        <w:spacing w:after="0" w:line="240" w:lineRule="auto"/>
      </w:pPr>
      <w:r>
        <w:separator/>
      </w:r>
    </w:p>
  </w:footnote>
  <w:footnote w:type="continuationSeparator" w:id="0">
    <w:p w14:paraId="784DCCA8" w14:textId="77777777" w:rsidR="00E50343" w:rsidRDefault="00E50343">
      <w:pPr>
        <w:spacing w:after="0" w:line="240" w:lineRule="auto"/>
      </w:pPr>
      <w:r>
        <w:continuationSeparator/>
      </w:r>
    </w:p>
  </w:footnote>
  <w:footnote w:type="continuationNotice" w:id="1">
    <w:p w14:paraId="3822F946" w14:textId="77777777" w:rsidR="00E50343" w:rsidRDefault="00E503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5252F4" w14:paraId="1811D0E2" w14:textId="77777777" w:rsidTr="005252F4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164E9BD9" w14:textId="77777777" w:rsidR="005252F4" w:rsidRDefault="005252F4" w:rsidP="005252F4">
          <w:pPr>
            <w:pStyle w:val="Zhlav"/>
          </w:pPr>
          <w:r>
            <w:rPr>
              <w:noProof/>
            </w:rPr>
            <w:drawing>
              <wp:inline distT="0" distB="0" distL="0" distR="0" wp14:anchorId="7E873235" wp14:editId="239E1FBB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0BD9073" w14:textId="77777777" w:rsidR="005252F4" w:rsidRPr="00CE01E4" w:rsidRDefault="005252F4" w:rsidP="005252F4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35B6397" w14:textId="77777777" w:rsidR="005252F4" w:rsidRPr="009A680A" w:rsidRDefault="005252F4" w:rsidP="005252F4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44089390" w14:textId="77777777" w:rsidR="005252F4" w:rsidRPr="007D2794" w:rsidRDefault="005252F4" w:rsidP="005252F4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kancelář: nám. T. G. Masaryka 1281, 760 01 Zlín</w:t>
          </w:r>
        </w:p>
      </w:tc>
    </w:tr>
  </w:tbl>
  <w:p w14:paraId="1E48A8D2" w14:textId="77777777" w:rsidR="00E24D80" w:rsidRDefault="00E24D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A70"/>
    <w:multiLevelType w:val="multilevel"/>
    <w:tmpl w:val="E18EA2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6229D"/>
    <w:multiLevelType w:val="multilevel"/>
    <w:tmpl w:val="2870AA1E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DD4494"/>
    <w:multiLevelType w:val="multilevel"/>
    <w:tmpl w:val="6358A106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081462E"/>
    <w:multiLevelType w:val="multilevel"/>
    <w:tmpl w:val="16D8B766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670A7BD"/>
    <w:multiLevelType w:val="hybridMultilevel"/>
    <w:tmpl w:val="2CC0AAC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C0B7960"/>
    <w:multiLevelType w:val="multilevel"/>
    <w:tmpl w:val="46F23F22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3494DB3"/>
    <w:multiLevelType w:val="multilevel"/>
    <w:tmpl w:val="3C82C794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32601A8"/>
    <w:multiLevelType w:val="multilevel"/>
    <w:tmpl w:val="78E6B602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44C1454"/>
    <w:multiLevelType w:val="multilevel"/>
    <w:tmpl w:val="2B9C4F1A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E935434"/>
    <w:multiLevelType w:val="multilevel"/>
    <w:tmpl w:val="419EC908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6C12CAE"/>
    <w:multiLevelType w:val="multilevel"/>
    <w:tmpl w:val="A33806C8"/>
    <w:lvl w:ilvl="0">
      <w:start w:val="1"/>
      <w:numFmt w:val="decimal"/>
      <w:lvlText w:val="B.%1"/>
      <w:lvlJc w:val="left"/>
      <w:pPr>
        <w:ind w:left="360" w:hanging="360"/>
      </w:pPr>
    </w:lvl>
    <w:lvl w:ilvl="1">
      <w:start w:val="1"/>
      <w:numFmt w:val="decimal"/>
      <w:lvlText w:val="B.2.%2"/>
      <w:lvlJc w:val="left"/>
      <w:pPr>
        <w:ind w:left="1531" w:hanging="1174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99936E8"/>
    <w:multiLevelType w:val="multilevel"/>
    <w:tmpl w:val="2BA6CF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D3820C7"/>
    <w:multiLevelType w:val="multilevel"/>
    <w:tmpl w:val="655CD082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DBA2508"/>
    <w:multiLevelType w:val="multilevel"/>
    <w:tmpl w:val="B7640F84"/>
    <w:lvl w:ilvl="0">
      <w:start w:val="1"/>
      <w:numFmt w:val="lowerLetter"/>
      <w:lvlText w:val="%1)"/>
      <w:lvlJc w:val="left"/>
      <w:pPr>
        <w:ind w:left="1919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EBC4E5F"/>
    <w:multiLevelType w:val="hybridMultilevel"/>
    <w:tmpl w:val="BCA20C2E"/>
    <w:lvl w:ilvl="0" w:tplc="0405000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78" w:hanging="360"/>
      </w:pPr>
      <w:rPr>
        <w:rFonts w:ascii="Wingdings" w:hAnsi="Wingdings" w:hint="default"/>
      </w:rPr>
    </w:lvl>
  </w:abstractNum>
  <w:num w:numId="1" w16cid:durableId="854729659">
    <w:abstractNumId w:val="8"/>
  </w:num>
  <w:num w:numId="2" w16cid:durableId="667176449">
    <w:abstractNumId w:val="10"/>
  </w:num>
  <w:num w:numId="3" w16cid:durableId="1172721087">
    <w:abstractNumId w:val="6"/>
  </w:num>
  <w:num w:numId="4" w16cid:durableId="2107310295">
    <w:abstractNumId w:val="0"/>
  </w:num>
  <w:num w:numId="5" w16cid:durableId="653291356">
    <w:abstractNumId w:val="9"/>
  </w:num>
  <w:num w:numId="6" w16cid:durableId="1731612702">
    <w:abstractNumId w:val="7"/>
  </w:num>
  <w:num w:numId="7" w16cid:durableId="754396749">
    <w:abstractNumId w:val="13"/>
  </w:num>
  <w:num w:numId="8" w16cid:durableId="1170756827">
    <w:abstractNumId w:val="5"/>
  </w:num>
  <w:num w:numId="9" w16cid:durableId="1517621464">
    <w:abstractNumId w:val="2"/>
  </w:num>
  <w:num w:numId="10" w16cid:durableId="1143933721">
    <w:abstractNumId w:val="12"/>
  </w:num>
  <w:num w:numId="11" w16cid:durableId="1812360253">
    <w:abstractNumId w:val="3"/>
  </w:num>
  <w:num w:numId="12" w16cid:durableId="1443722363">
    <w:abstractNumId w:val="1"/>
  </w:num>
  <w:num w:numId="13" w16cid:durableId="777218625">
    <w:abstractNumId w:val="11"/>
  </w:num>
  <w:num w:numId="14" w16cid:durableId="634067775">
    <w:abstractNumId w:val="4"/>
  </w:num>
  <w:num w:numId="15" w16cid:durableId="1937132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D80"/>
    <w:rsid w:val="000006B6"/>
    <w:rsid w:val="00010E98"/>
    <w:rsid w:val="0002083B"/>
    <w:rsid w:val="00030E0C"/>
    <w:rsid w:val="00034C4B"/>
    <w:rsid w:val="00066742"/>
    <w:rsid w:val="00082ABC"/>
    <w:rsid w:val="00090881"/>
    <w:rsid w:val="000A3AC9"/>
    <w:rsid w:val="000C5ADA"/>
    <w:rsid w:val="000D184D"/>
    <w:rsid w:val="000D6721"/>
    <w:rsid w:val="00145A5C"/>
    <w:rsid w:val="00152E08"/>
    <w:rsid w:val="001712A4"/>
    <w:rsid w:val="00172E3B"/>
    <w:rsid w:val="00177C0B"/>
    <w:rsid w:val="00177F5A"/>
    <w:rsid w:val="0019079D"/>
    <w:rsid w:val="00193E65"/>
    <w:rsid w:val="001A4EB2"/>
    <w:rsid w:val="001B2E31"/>
    <w:rsid w:val="001C46AC"/>
    <w:rsid w:val="001C628C"/>
    <w:rsid w:val="001E0B67"/>
    <w:rsid w:val="001E1311"/>
    <w:rsid w:val="0020321E"/>
    <w:rsid w:val="00210BA0"/>
    <w:rsid w:val="00216BA1"/>
    <w:rsid w:val="00221C28"/>
    <w:rsid w:val="00247F76"/>
    <w:rsid w:val="002565F8"/>
    <w:rsid w:val="00265B1C"/>
    <w:rsid w:val="00290770"/>
    <w:rsid w:val="00292670"/>
    <w:rsid w:val="002B7932"/>
    <w:rsid w:val="002C0E04"/>
    <w:rsid w:val="002E0173"/>
    <w:rsid w:val="002E304A"/>
    <w:rsid w:val="002F0B23"/>
    <w:rsid w:val="002F71F3"/>
    <w:rsid w:val="00304492"/>
    <w:rsid w:val="00307C99"/>
    <w:rsid w:val="003116D0"/>
    <w:rsid w:val="00320D91"/>
    <w:rsid w:val="00326FF1"/>
    <w:rsid w:val="00344379"/>
    <w:rsid w:val="00350738"/>
    <w:rsid w:val="00390E52"/>
    <w:rsid w:val="00394A83"/>
    <w:rsid w:val="003A0CE4"/>
    <w:rsid w:val="003B436E"/>
    <w:rsid w:val="003C732C"/>
    <w:rsid w:val="003C7BDA"/>
    <w:rsid w:val="003D7DD3"/>
    <w:rsid w:val="00446482"/>
    <w:rsid w:val="0047376F"/>
    <w:rsid w:val="00491609"/>
    <w:rsid w:val="004B133E"/>
    <w:rsid w:val="004B1439"/>
    <w:rsid w:val="00512C49"/>
    <w:rsid w:val="00523189"/>
    <w:rsid w:val="005231B9"/>
    <w:rsid w:val="005252F4"/>
    <w:rsid w:val="005670BA"/>
    <w:rsid w:val="00580A07"/>
    <w:rsid w:val="00583BF4"/>
    <w:rsid w:val="00586619"/>
    <w:rsid w:val="00595817"/>
    <w:rsid w:val="005A5861"/>
    <w:rsid w:val="005D070E"/>
    <w:rsid w:val="005D1A9A"/>
    <w:rsid w:val="005D4290"/>
    <w:rsid w:val="005E20C5"/>
    <w:rsid w:val="005E396B"/>
    <w:rsid w:val="005E39D6"/>
    <w:rsid w:val="005E5366"/>
    <w:rsid w:val="005F7E2C"/>
    <w:rsid w:val="00616278"/>
    <w:rsid w:val="00617E78"/>
    <w:rsid w:val="00622C1B"/>
    <w:rsid w:val="00646025"/>
    <w:rsid w:val="00653E27"/>
    <w:rsid w:val="00655831"/>
    <w:rsid w:val="0067546D"/>
    <w:rsid w:val="006A03EA"/>
    <w:rsid w:val="006B6CB2"/>
    <w:rsid w:val="006C226E"/>
    <w:rsid w:val="00713143"/>
    <w:rsid w:val="00715376"/>
    <w:rsid w:val="007231F6"/>
    <w:rsid w:val="0072485A"/>
    <w:rsid w:val="0072697D"/>
    <w:rsid w:val="0073200F"/>
    <w:rsid w:val="0075234D"/>
    <w:rsid w:val="007638D8"/>
    <w:rsid w:val="0077200E"/>
    <w:rsid w:val="00791A8C"/>
    <w:rsid w:val="0079414B"/>
    <w:rsid w:val="007C4AC3"/>
    <w:rsid w:val="007C5302"/>
    <w:rsid w:val="0081545C"/>
    <w:rsid w:val="008154E6"/>
    <w:rsid w:val="008314C8"/>
    <w:rsid w:val="00877AB0"/>
    <w:rsid w:val="008959F1"/>
    <w:rsid w:val="008A7D80"/>
    <w:rsid w:val="008B05FB"/>
    <w:rsid w:val="008B0E7A"/>
    <w:rsid w:val="008B5A8B"/>
    <w:rsid w:val="008C301A"/>
    <w:rsid w:val="008D0752"/>
    <w:rsid w:val="008D2759"/>
    <w:rsid w:val="008E06F9"/>
    <w:rsid w:val="008F6A71"/>
    <w:rsid w:val="00904127"/>
    <w:rsid w:val="00910E8B"/>
    <w:rsid w:val="0092747A"/>
    <w:rsid w:val="009364F4"/>
    <w:rsid w:val="00961AD4"/>
    <w:rsid w:val="0096692B"/>
    <w:rsid w:val="00972F86"/>
    <w:rsid w:val="0097638B"/>
    <w:rsid w:val="00981E84"/>
    <w:rsid w:val="00994296"/>
    <w:rsid w:val="009A1B1E"/>
    <w:rsid w:val="009B61DC"/>
    <w:rsid w:val="009C556D"/>
    <w:rsid w:val="009D24C8"/>
    <w:rsid w:val="009E176A"/>
    <w:rsid w:val="009F4413"/>
    <w:rsid w:val="00A01AA4"/>
    <w:rsid w:val="00A065E1"/>
    <w:rsid w:val="00A067AE"/>
    <w:rsid w:val="00A06C75"/>
    <w:rsid w:val="00A141F7"/>
    <w:rsid w:val="00A32919"/>
    <w:rsid w:val="00A4644E"/>
    <w:rsid w:val="00A53E7E"/>
    <w:rsid w:val="00A80632"/>
    <w:rsid w:val="00AA19B5"/>
    <w:rsid w:val="00AC2F11"/>
    <w:rsid w:val="00AD11E1"/>
    <w:rsid w:val="00AD651D"/>
    <w:rsid w:val="00AD744F"/>
    <w:rsid w:val="00AE5CB7"/>
    <w:rsid w:val="00AE66DF"/>
    <w:rsid w:val="00AF6D7A"/>
    <w:rsid w:val="00B110E4"/>
    <w:rsid w:val="00B22791"/>
    <w:rsid w:val="00B26BC9"/>
    <w:rsid w:val="00B454DA"/>
    <w:rsid w:val="00B6125D"/>
    <w:rsid w:val="00B6332B"/>
    <w:rsid w:val="00B846DE"/>
    <w:rsid w:val="00B860A2"/>
    <w:rsid w:val="00B879C2"/>
    <w:rsid w:val="00B97A55"/>
    <w:rsid w:val="00BB529E"/>
    <w:rsid w:val="00BB79A5"/>
    <w:rsid w:val="00BC675D"/>
    <w:rsid w:val="00BD1BE5"/>
    <w:rsid w:val="00BE7B23"/>
    <w:rsid w:val="00BF3A26"/>
    <w:rsid w:val="00BF5019"/>
    <w:rsid w:val="00BF524C"/>
    <w:rsid w:val="00C143F7"/>
    <w:rsid w:val="00C51E37"/>
    <w:rsid w:val="00C97953"/>
    <w:rsid w:val="00C97A7A"/>
    <w:rsid w:val="00CA35B7"/>
    <w:rsid w:val="00CA47DD"/>
    <w:rsid w:val="00CB0074"/>
    <w:rsid w:val="00CC3328"/>
    <w:rsid w:val="00CD56C8"/>
    <w:rsid w:val="00CE2DE5"/>
    <w:rsid w:val="00CF475D"/>
    <w:rsid w:val="00D13D9F"/>
    <w:rsid w:val="00D17EF9"/>
    <w:rsid w:val="00D20236"/>
    <w:rsid w:val="00D4704E"/>
    <w:rsid w:val="00D52067"/>
    <w:rsid w:val="00D734DF"/>
    <w:rsid w:val="00D736AD"/>
    <w:rsid w:val="00DC431B"/>
    <w:rsid w:val="00DD35C2"/>
    <w:rsid w:val="00DF0FAD"/>
    <w:rsid w:val="00DF54CC"/>
    <w:rsid w:val="00DF7CF8"/>
    <w:rsid w:val="00E0181C"/>
    <w:rsid w:val="00E07CCA"/>
    <w:rsid w:val="00E24D80"/>
    <w:rsid w:val="00E323DE"/>
    <w:rsid w:val="00E3657C"/>
    <w:rsid w:val="00E50343"/>
    <w:rsid w:val="00E64A13"/>
    <w:rsid w:val="00E73D6C"/>
    <w:rsid w:val="00E744E9"/>
    <w:rsid w:val="00E854B5"/>
    <w:rsid w:val="00EA4C03"/>
    <w:rsid w:val="00EB5F61"/>
    <w:rsid w:val="00EE052D"/>
    <w:rsid w:val="00EE0F22"/>
    <w:rsid w:val="00F1386C"/>
    <w:rsid w:val="00F17289"/>
    <w:rsid w:val="00F30283"/>
    <w:rsid w:val="00F36DE9"/>
    <w:rsid w:val="00F65A4F"/>
    <w:rsid w:val="00F71B42"/>
    <w:rsid w:val="00F84866"/>
    <w:rsid w:val="00FB5EE4"/>
    <w:rsid w:val="00FC7245"/>
    <w:rsid w:val="00FD0FC5"/>
    <w:rsid w:val="00FE0109"/>
    <w:rsid w:val="00FF61CD"/>
    <w:rsid w:val="26CF9E18"/>
    <w:rsid w:val="312758AD"/>
    <w:rsid w:val="318579E7"/>
    <w:rsid w:val="57DC450C"/>
    <w:rsid w:val="70A557D7"/>
    <w:rsid w:val="7830B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A77A"/>
  <w15:docId w15:val="{E580EBFA-9836-49F2-9A8B-4FA04499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550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aliases w:val="záhlaví Char"/>
    <w:basedOn w:val="Standardnpsmoodstavce"/>
    <w:link w:val="Zhlav"/>
    <w:qFormat/>
    <w:rsid w:val="007D2794"/>
  </w:style>
  <w:style w:type="character" w:customStyle="1" w:styleId="ZpatChar">
    <w:name w:val="Zápatí Char"/>
    <w:basedOn w:val="Standardnpsmoodstavce"/>
    <w:link w:val="Zpat"/>
    <w:uiPriority w:val="99"/>
    <w:qFormat/>
    <w:rsid w:val="007D2794"/>
  </w:style>
  <w:style w:type="character" w:customStyle="1" w:styleId="ZkladnChar">
    <w:name w:val="Základní Char"/>
    <w:link w:val="Zkladn"/>
    <w:qFormat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Mnadpis1Char">
    <w:name w:val="KM nadpis1 Char"/>
    <w:basedOn w:val="Nadpis1Char"/>
    <w:link w:val="KMnadpis1"/>
    <w:qFormat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qFormat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character" w:customStyle="1" w:styleId="KMnadpis3Char">
    <w:name w:val="KM nadpis 3 Char"/>
    <w:basedOn w:val="KMnadpis2Char"/>
    <w:link w:val="KMnadpis3"/>
    <w:qFormat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MnormalChar">
    <w:name w:val="KM normal Char"/>
    <w:basedOn w:val="Standardnpsmoodstavce"/>
    <w:link w:val="KMnormal"/>
    <w:qFormat/>
    <w:rsid w:val="00573DFE"/>
    <w:rPr>
      <w:rFonts w:ascii="Times New Roman" w:hAnsi="Times New Roman"/>
      <w:sz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282659"/>
    <w:rPr>
      <w:color w:val="0563C1" w:themeColor="hyperlink"/>
      <w:u w:val="single"/>
    </w:rPr>
  </w:style>
  <w:style w:type="character" w:customStyle="1" w:styleId="odstavceitalicChar">
    <w:name w:val="!odstavce_italic Char"/>
    <w:qFormat/>
    <w:rsid w:val="00841560"/>
    <w:rPr>
      <w:rFonts w:ascii="Arial" w:eastAsia="Arial Unicode MS" w:hAnsi="Arial" w:cs="Times New Roman"/>
      <w:b/>
      <w:i/>
      <w:kern w:val="2"/>
      <w:sz w:val="16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4D550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kladn">
    <w:name w:val="Základní"/>
    <w:basedOn w:val="Normln"/>
    <w:link w:val="ZkladnChar"/>
    <w:qFormat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rPr>
      <w:rFonts w:ascii="Times New Roman" w:hAnsi="Times New Roman"/>
      <w:b/>
      <w:color w:val="auto"/>
      <w:sz w:val="28"/>
    </w:rPr>
  </w:style>
  <w:style w:type="paragraph" w:customStyle="1" w:styleId="KMnadpis3">
    <w:name w:val="KM nadpis 3"/>
    <w:basedOn w:val="Nadpis3"/>
    <w:link w:val="KMnadpis3Char"/>
    <w:qFormat/>
    <w:rsid w:val="00FC7AD6"/>
    <w:rPr>
      <w:rFonts w:ascii="Times New Roman" w:hAnsi="Times New Roman" w:cs="Times New Roman"/>
      <w:b/>
      <w:color w:val="000000" w:themeColor="text1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paragraph" w:customStyle="1" w:styleId="body">
    <w:name w:val="! body"/>
    <w:basedOn w:val="Normln"/>
    <w:qFormat/>
    <w:rsid w:val="00282659"/>
    <w:pPr>
      <w:widowControl w:val="0"/>
      <w:spacing w:after="0" w:line="240" w:lineRule="auto"/>
      <w:ind w:left="454"/>
      <w:jc w:val="both"/>
    </w:pPr>
    <w:rPr>
      <w:rFonts w:ascii="Arial" w:eastAsia="Arial Unicode MS" w:hAnsi="Arial" w:cs="Arial"/>
      <w:kern w:val="2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qFormat/>
    <w:rsid w:val="00841560"/>
    <w:pPr>
      <w:spacing w:after="0" w:line="240" w:lineRule="auto"/>
      <w:ind w:left="284"/>
    </w:pPr>
    <w:rPr>
      <w:rFonts w:ascii="Arial" w:eastAsia="Arial Unicode MS" w:hAnsi="Arial" w:cs="Times New Roman"/>
      <w:b/>
      <w:i/>
      <w:kern w:val="2"/>
      <w:sz w:val="16"/>
      <w:szCs w:val="20"/>
      <w:lang w:eastAsia="cs-CZ"/>
    </w:rPr>
  </w:style>
  <w:style w:type="paragraph" w:customStyle="1" w:styleId="Default">
    <w:name w:val="Default"/>
    <w:uiPriority w:val="99"/>
    <w:qFormat/>
    <w:rsid w:val="00896A37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A66F5D"/>
  </w:style>
  <w:style w:type="table" w:styleId="Mkatabulky">
    <w:name w:val="Table Grid"/>
    <w:basedOn w:val="Normlntabulka"/>
    <w:uiPriority w:val="39"/>
    <w:rsid w:val="00F86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07CCA"/>
    <w:pPr>
      <w:suppressAutoHyphens w:val="0"/>
      <w:spacing w:after="100"/>
      <w:ind w:left="176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7CC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7CCA"/>
    <w:rPr>
      <w:color w:val="605E5C"/>
      <w:shd w:val="clear" w:color="auto" w:fill="E1DFDD"/>
    </w:rPr>
  </w:style>
  <w:style w:type="paragraph" w:customStyle="1" w:styleId="Textpsmene">
    <w:name w:val="Text písmene"/>
    <w:basedOn w:val="Normln"/>
    <w:qFormat/>
    <w:rsid w:val="00394A83"/>
    <w:pPr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0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F78F-EAF8-46FA-AF2C-037CAE543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4216</Words>
  <Characters>24878</Characters>
  <Application>Microsoft Office Word</Application>
  <DocSecurity>0</DocSecurity>
  <Lines>207</Lines>
  <Paragraphs>58</Paragraphs>
  <ScaleCrop>false</ScaleCrop>
  <Company/>
  <LinksUpToDate>false</LinksUpToDate>
  <CharactersWithSpaces>29036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Salaquardová Petra</cp:lastModifiedBy>
  <cp:revision>170</cp:revision>
  <cp:lastPrinted>2024-09-10T08:16:00Z</cp:lastPrinted>
  <dcterms:created xsi:type="dcterms:W3CDTF">2021-05-05T16:14:00Z</dcterms:created>
  <dcterms:modified xsi:type="dcterms:W3CDTF">2024-09-10T08:16:00Z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